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223A1" w:rsidTr="00C223A1">
        <w:trPr>
          <w:cantSplit/>
          <w:tblHeader/>
        </w:trPr>
        <w:tc>
          <w:tcPr>
            <w:tcW w:w="18713" w:type="dxa"/>
            <w:gridSpan w:val="3"/>
          </w:tcPr>
          <w:p w:rsidR="00E40C42" w:rsidRDefault="007428D9">
            <w:pPr>
              <w:ind w:left="650"/>
              <w:jc w:val="center"/>
            </w:pPr>
            <w:bookmarkStart w:id="0" w:name="_GoBack"/>
            <w:bookmarkEnd w:id="0"/>
            <w:r>
              <w:rPr>
                <w:b/>
              </w:rPr>
              <w:t>House Bill  555</w:t>
            </w:r>
          </w:p>
          <w:p w:rsidR="00E40C42" w:rsidRDefault="007428D9">
            <w:pPr>
              <w:ind w:left="650"/>
              <w:jc w:val="center"/>
            </w:pPr>
            <w:r>
              <w:t>Senate Amendments</w:t>
            </w:r>
          </w:p>
          <w:p w:rsidR="00E40C42" w:rsidRDefault="007428D9">
            <w:pPr>
              <w:ind w:left="650"/>
              <w:jc w:val="center"/>
            </w:pPr>
            <w:r>
              <w:t>Section-by-Section Analysis</w:t>
            </w:r>
          </w:p>
          <w:p w:rsidR="00E40C42" w:rsidRDefault="00E40C42">
            <w:pPr>
              <w:jc w:val="center"/>
            </w:pPr>
          </w:p>
        </w:tc>
      </w:tr>
      <w:tr w:rsidR="00E40C42">
        <w:trPr>
          <w:cantSplit/>
          <w:tblHeader/>
        </w:trPr>
        <w:tc>
          <w:tcPr>
            <w:tcW w:w="1667" w:type="pct"/>
            <w:tcMar>
              <w:bottom w:w="188" w:type="dxa"/>
              <w:right w:w="0" w:type="dxa"/>
            </w:tcMar>
          </w:tcPr>
          <w:p w:rsidR="00E40C42" w:rsidRDefault="007428D9">
            <w:pPr>
              <w:jc w:val="center"/>
            </w:pPr>
            <w:r>
              <w:t>HOUSE VERSION</w:t>
            </w:r>
          </w:p>
        </w:tc>
        <w:tc>
          <w:tcPr>
            <w:tcW w:w="1667" w:type="pct"/>
            <w:tcMar>
              <w:bottom w:w="188" w:type="dxa"/>
              <w:right w:w="0" w:type="dxa"/>
            </w:tcMar>
          </w:tcPr>
          <w:p w:rsidR="00E40C42" w:rsidRDefault="007428D9">
            <w:pPr>
              <w:jc w:val="center"/>
            </w:pPr>
            <w:r>
              <w:t>SENATE VERSION (IE)</w:t>
            </w:r>
          </w:p>
        </w:tc>
        <w:tc>
          <w:tcPr>
            <w:tcW w:w="1667" w:type="pct"/>
            <w:tcMar>
              <w:bottom w:w="188" w:type="dxa"/>
              <w:right w:w="0" w:type="dxa"/>
            </w:tcMar>
          </w:tcPr>
          <w:p w:rsidR="00E40C42" w:rsidRDefault="007428D9">
            <w:pPr>
              <w:jc w:val="center"/>
            </w:pPr>
            <w:r>
              <w:t>CONFERENCE</w:t>
            </w:r>
          </w:p>
        </w:tc>
      </w:tr>
      <w:tr w:rsidR="00E40C42">
        <w:tc>
          <w:tcPr>
            <w:tcW w:w="6473" w:type="dxa"/>
          </w:tcPr>
          <w:p w:rsidR="00E40C42" w:rsidRDefault="007428D9">
            <w:pPr>
              <w:jc w:val="both"/>
            </w:pPr>
            <w:r w:rsidRPr="00C223A1">
              <w:rPr>
                <w:highlight w:val="lightGray"/>
              </w:rPr>
              <w:t>No equivalent provision.</w:t>
            </w:r>
          </w:p>
          <w:p w:rsidR="00E40C42" w:rsidRDefault="00E40C42">
            <w:pPr>
              <w:jc w:val="both"/>
            </w:pPr>
          </w:p>
        </w:tc>
        <w:tc>
          <w:tcPr>
            <w:tcW w:w="6480" w:type="dxa"/>
          </w:tcPr>
          <w:p w:rsidR="00E40C42" w:rsidRDefault="007428D9">
            <w:pPr>
              <w:jc w:val="both"/>
            </w:pPr>
            <w:r>
              <w:t>SECTION __.  Section 2.009, Family Code, is amended by adding Subsection (e) to read as follows:</w:t>
            </w:r>
          </w:p>
          <w:p w:rsidR="00E40C42" w:rsidRDefault="007428D9">
            <w:pPr>
              <w:jc w:val="both"/>
            </w:pPr>
            <w:r>
              <w:rPr>
                <w:u w:val="single"/>
              </w:rPr>
              <w:t>(e)  A license issued by a county clerk under this section must identify the county in which the license is issued but may not specify the name of the county clerk.</w:t>
            </w:r>
            <w:r>
              <w:t xml:space="preserve">  [FA1]</w:t>
            </w:r>
          </w:p>
        </w:tc>
        <w:tc>
          <w:tcPr>
            <w:tcW w:w="5760" w:type="dxa"/>
          </w:tcPr>
          <w:p w:rsidR="00E40C42" w:rsidRDefault="00E40C42">
            <w:pPr>
              <w:jc w:val="both"/>
            </w:pPr>
          </w:p>
        </w:tc>
      </w:tr>
      <w:tr w:rsidR="00E40C42">
        <w:tc>
          <w:tcPr>
            <w:tcW w:w="6473" w:type="dxa"/>
          </w:tcPr>
          <w:p w:rsidR="00E40C42" w:rsidRDefault="007428D9">
            <w:pPr>
              <w:jc w:val="both"/>
            </w:pPr>
            <w:r w:rsidRPr="00C223A1">
              <w:rPr>
                <w:highlight w:val="lightGray"/>
              </w:rPr>
              <w:t>No equivalent provision.</w:t>
            </w:r>
          </w:p>
          <w:p w:rsidR="00E40C42" w:rsidRDefault="00E40C42">
            <w:pPr>
              <w:jc w:val="both"/>
            </w:pPr>
          </w:p>
        </w:tc>
        <w:tc>
          <w:tcPr>
            <w:tcW w:w="6480" w:type="dxa"/>
          </w:tcPr>
          <w:p w:rsidR="00E40C42" w:rsidRDefault="007428D9">
            <w:pPr>
              <w:jc w:val="both"/>
            </w:pPr>
            <w:r>
              <w:t>SECTION __.  Section 194.0011(a), Health and Safety Code, is amended to read as follows:</w:t>
            </w:r>
          </w:p>
          <w:p w:rsidR="00E40C42" w:rsidRDefault="007428D9">
            <w:pPr>
              <w:jc w:val="both"/>
            </w:pPr>
            <w:r>
              <w:t xml:space="preserve">(a)  The executive commissioner by rule shall prescribe the format and content of the department form used for the marriage license application.  </w:t>
            </w:r>
            <w:r>
              <w:rPr>
                <w:u w:val="single"/>
              </w:rPr>
              <w:t>The form:</w:t>
            </w:r>
          </w:p>
          <w:p w:rsidR="00E40C42" w:rsidRDefault="007428D9">
            <w:pPr>
              <w:jc w:val="both"/>
            </w:pPr>
            <w:r>
              <w:rPr>
                <w:u w:val="single"/>
              </w:rPr>
              <w:t>(1)  may not require that the name of the county clerk appear on the application; and</w:t>
            </w:r>
          </w:p>
          <w:p w:rsidR="00E40C42" w:rsidRDefault="007428D9">
            <w:pPr>
              <w:jc w:val="both"/>
            </w:pPr>
            <w:r>
              <w:rPr>
                <w:u w:val="single"/>
              </w:rPr>
              <w:t>(2)  must require identification of the county in which the application is submitted.</w:t>
            </w:r>
            <w:r>
              <w:t xml:space="preserve">  [FA1]</w:t>
            </w:r>
          </w:p>
        </w:tc>
        <w:tc>
          <w:tcPr>
            <w:tcW w:w="5760" w:type="dxa"/>
          </w:tcPr>
          <w:p w:rsidR="00E40C42" w:rsidRDefault="00E40C42">
            <w:pPr>
              <w:jc w:val="both"/>
            </w:pPr>
          </w:p>
        </w:tc>
      </w:tr>
      <w:tr w:rsidR="00E40C42">
        <w:tc>
          <w:tcPr>
            <w:tcW w:w="6473" w:type="dxa"/>
          </w:tcPr>
          <w:p w:rsidR="00E40C42" w:rsidRDefault="007428D9">
            <w:pPr>
              <w:jc w:val="both"/>
            </w:pPr>
            <w:r>
              <w:t>SECTION 1.  Section 118.011(b), Local Government Code, as effective until September 1, 2019, is amended to read as follows:</w:t>
            </w:r>
          </w:p>
          <w:p w:rsidR="00E40C42" w:rsidRDefault="007428D9">
            <w:pPr>
              <w:jc w:val="both"/>
            </w:pPr>
            <w:r>
              <w:t>(b)  The county clerk may set and collect the following fee from any person:</w:t>
            </w:r>
          </w:p>
          <w:p w:rsidR="00E40C42" w:rsidRDefault="007428D9">
            <w:pPr>
              <w:jc w:val="both"/>
            </w:pPr>
            <w:r>
              <w:t>(1)  Returned Check (Sec. 118.0215) . . . . . . not less than $15 or more than $30</w:t>
            </w:r>
          </w:p>
          <w:p w:rsidR="00E40C42" w:rsidRDefault="007428D9">
            <w:pPr>
              <w:jc w:val="both"/>
            </w:pPr>
            <w:r>
              <w:t>(2)  Records Management and Preservation Fee (Sec. 118.0216) . . . . . . . . . . . . . . . . . . . not more than $10</w:t>
            </w:r>
          </w:p>
          <w:p w:rsidR="00E40C42" w:rsidRDefault="007428D9">
            <w:pPr>
              <w:jc w:val="both"/>
            </w:pPr>
            <w:r>
              <w:t>(3)  Mental Health Background Check for License to Carry a Handgun (Sec. 118.0217) . . . . . not more than $2</w:t>
            </w:r>
          </w:p>
          <w:p w:rsidR="00E40C42" w:rsidRDefault="007428D9">
            <w:pPr>
              <w:jc w:val="both"/>
            </w:pPr>
            <w:r>
              <w:rPr>
                <w:u w:val="single"/>
              </w:rPr>
              <w:t>(4)  Marriage License for Out-of-State Applicants (Sec. 118.018) . . . . . . . . . . . . . . . . . . . . . . . $100</w:t>
            </w:r>
          </w:p>
        </w:tc>
        <w:tc>
          <w:tcPr>
            <w:tcW w:w="6480" w:type="dxa"/>
          </w:tcPr>
          <w:p w:rsidR="00E40C42" w:rsidRDefault="007428D9">
            <w:pPr>
              <w:jc w:val="both"/>
            </w:pPr>
            <w:r>
              <w:t>SECTION 1. Same as House version.</w:t>
            </w:r>
          </w:p>
          <w:p w:rsidR="00E40C42" w:rsidRDefault="00E40C42">
            <w:pPr>
              <w:jc w:val="both"/>
            </w:pPr>
          </w:p>
          <w:p w:rsidR="00E40C42" w:rsidRDefault="00E40C42">
            <w:pPr>
              <w:jc w:val="both"/>
            </w:pPr>
          </w:p>
        </w:tc>
        <w:tc>
          <w:tcPr>
            <w:tcW w:w="5760" w:type="dxa"/>
          </w:tcPr>
          <w:p w:rsidR="00E40C42" w:rsidRDefault="00E40C42">
            <w:pPr>
              <w:jc w:val="both"/>
            </w:pPr>
          </w:p>
        </w:tc>
      </w:tr>
      <w:tr w:rsidR="00E40C42">
        <w:tc>
          <w:tcPr>
            <w:tcW w:w="6473" w:type="dxa"/>
          </w:tcPr>
          <w:p w:rsidR="00E40C42" w:rsidRDefault="007428D9">
            <w:pPr>
              <w:jc w:val="both"/>
            </w:pPr>
            <w:r>
              <w:t>SECTION 2.  Section 118.011(b), Local Government Code, as effective September 1, 2019, is amended to read as follows:</w:t>
            </w:r>
          </w:p>
          <w:p w:rsidR="00E40C42" w:rsidRDefault="007428D9">
            <w:pPr>
              <w:jc w:val="both"/>
            </w:pPr>
            <w:r>
              <w:lastRenderedPageBreak/>
              <w:t>(b)  The county clerk may set and collect the following fee from any person:</w:t>
            </w:r>
          </w:p>
          <w:p w:rsidR="00E40C42" w:rsidRDefault="007428D9">
            <w:pPr>
              <w:jc w:val="both"/>
            </w:pPr>
            <w:r>
              <w:t>(1)  Returned Check (Sec. 118.0215)  . . . . . . not less than $15 or more than $30</w:t>
            </w:r>
          </w:p>
          <w:p w:rsidR="00E40C42" w:rsidRDefault="007428D9">
            <w:pPr>
              <w:jc w:val="both"/>
            </w:pPr>
            <w:r>
              <w:t>(2)  Records Management and Preservation Fee (Sec. 118.0216)  . . . . . . . . . . . . . . . . . . . . . . . not more than $5</w:t>
            </w:r>
          </w:p>
          <w:p w:rsidR="00E40C42" w:rsidRDefault="007428D9">
            <w:pPr>
              <w:jc w:val="both"/>
            </w:pPr>
            <w:r>
              <w:t>(3)  Mental Health Background Check for License to Carry a Handgun (Sec. 118.0217)  . . . . . not more than $2</w:t>
            </w:r>
          </w:p>
          <w:p w:rsidR="00E40C42" w:rsidRDefault="007428D9">
            <w:pPr>
              <w:jc w:val="both"/>
            </w:pPr>
            <w:r>
              <w:rPr>
                <w:u w:val="single"/>
              </w:rPr>
              <w:t>(4)  Marriage License for Out-of-State Applicants (Sec. 118.018) . . . . . . . . . . . . . . . . . . . . . . . . $100</w:t>
            </w:r>
          </w:p>
        </w:tc>
        <w:tc>
          <w:tcPr>
            <w:tcW w:w="6480" w:type="dxa"/>
          </w:tcPr>
          <w:p w:rsidR="00E40C42" w:rsidRDefault="007428D9">
            <w:pPr>
              <w:jc w:val="both"/>
            </w:pPr>
            <w:r>
              <w:lastRenderedPageBreak/>
              <w:t>SECTION 2. Same as House version.</w:t>
            </w:r>
          </w:p>
          <w:p w:rsidR="00E40C42" w:rsidRDefault="00E40C42">
            <w:pPr>
              <w:jc w:val="both"/>
            </w:pPr>
          </w:p>
          <w:p w:rsidR="00E40C42" w:rsidRDefault="00E40C42">
            <w:pPr>
              <w:jc w:val="both"/>
            </w:pPr>
          </w:p>
        </w:tc>
        <w:tc>
          <w:tcPr>
            <w:tcW w:w="5760" w:type="dxa"/>
          </w:tcPr>
          <w:p w:rsidR="00E40C42" w:rsidRDefault="00E40C42">
            <w:pPr>
              <w:jc w:val="both"/>
            </w:pPr>
          </w:p>
        </w:tc>
      </w:tr>
      <w:tr w:rsidR="00E40C42">
        <w:tc>
          <w:tcPr>
            <w:tcW w:w="6473" w:type="dxa"/>
          </w:tcPr>
          <w:p w:rsidR="00E40C42" w:rsidRDefault="007428D9">
            <w:pPr>
              <w:jc w:val="both"/>
            </w:pPr>
            <w:r>
              <w:lastRenderedPageBreak/>
              <w:t>SECTION 3.  Section 118.018, Local Government Code, is amended by amending Subsection (b-1) and adding Subsection (d) to read as follows:</w:t>
            </w:r>
          </w:p>
          <w:p w:rsidR="00E40C42" w:rsidRDefault="007428D9">
            <w:pPr>
              <w:jc w:val="both"/>
            </w:pPr>
            <w:r>
              <w:t>(b-1)  The county clerk shall issue a marriage license without collecting a marriage license fee from an applicant who:</w:t>
            </w:r>
          </w:p>
          <w:p w:rsidR="00E40C42" w:rsidRDefault="007428D9">
            <w:pPr>
              <w:jc w:val="both"/>
            </w:pPr>
            <w:r>
              <w:t>(1)  completes a premarital education course described by Section 2.013, Family Code; [</w:t>
            </w:r>
            <w:r>
              <w:rPr>
                <w:strike/>
              </w:rPr>
              <w:t>and</w:t>
            </w:r>
            <w:r>
              <w:t>]</w:t>
            </w:r>
          </w:p>
          <w:p w:rsidR="00E40C42" w:rsidRDefault="007428D9">
            <w:pPr>
              <w:jc w:val="both"/>
            </w:pPr>
            <w:r>
              <w:t>(2)  provides to the county clerk a premarital education course completion certificate indicating completion of the premarital education course not more than one year before the date the marriage license application is filed with the clerk</w:t>
            </w:r>
            <w:r>
              <w:rPr>
                <w:u w:val="single"/>
              </w:rPr>
              <w:t>; and</w:t>
            </w:r>
          </w:p>
          <w:p w:rsidR="00E40C42" w:rsidRDefault="007428D9">
            <w:pPr>
              <w:jc w:val="both"/>
            </w:pPr>
            <w:r>
              <w:rPr>
                <w:u w:val="single"/>
              </w:rPr>
              <w:t>(3)  provides proof satisfactory to the county clerk that the applicant is a resident of this state</w:t>
            </w:r>
            <w:r>
              <w:t>.</w:t>
            </w:r>
          </w:p>
          <w:p w:rsidR="00E40C42" w:rsidRDefault="007428D9">
            <w:pPr>
              <w:jc w:val="both"/>
            </w:pPr>
            <w:r>
              <w:rPr>
                <w:u w:val="single"/>
              </w:rPr>
              <w:t>(d)  If neither applicant for a marriage license provides proof satisfactory to the county clerk that the applicant is a resident of this state, the county clerk may collect an additional fee of $100 for issuing the marriage license.</w:t>
            </w:r>
          </w:p>
        </w:tc>
        <w:tc>
          <w:tcPr>
            <w:tcW w:w="6480" w:type="dxa"/>
          </w:tcPr>
          <w:p w:rsidR="00E40C42" w:rsidRDefault="007428D9">
            <w:pPr>
              <w:jc w:val="both"/>
            </w:pPr>
            <w:r>
              <w:t>SECTION 3. Same as House version.</w:t>
            </w:r>
          </w:p>
          <w:p w:rsidR="00E40C42" w:rsidRDefault="00E40C42">
            <w:pPr>
              <w:jc w:val="both"/>
            </w:pPr>
          </w:p>
          <w:p w:rsidR="00E40C42" w:rsidRDefault="00E40C42">
            <w:pPr>
              <w:jc w:val="both"/>
            </w:pPr>
          </w:p>
        </w:tc>
        <w:tc>
          <w:tcPr>
            <w:tcW w:w="5760" w:type="dxa"/>
          </w:tcPr>
          <w:p w:rsidR="00E40C42" w:rsidRDefault="00E40C42">
            <w:pPr>
              <w:jc w:val="both"/>
            </w:pPr>
          </w:p>
        </w:tc>
      </w:tr>
      <w:tr w:rsidR="00E40C42">
        <w:tc>
          <w:tcPr>
            <w:tcW w:w="6473" w:type="dxa"/>
          </w:tcPr>
          <w:p w:rsidR="00E40C42" w:rsidRDefault="007428D9">
            <w:pPr>
              <w:jc w:val="both"/>
            </w:pPr>
            <w:r>
              <w:t xml:space="preserve">SECTION 4.  The change in law made by this Act applies only to a marriage license issued on or after January 1, 2018.  A marriage license issued before January 1, 2018, is governed </w:t>
            </w:r>
            <w:r>
              <w:lastRenderedPageBreak/>
              <w:t>by the law in effect immediately before the effective date of this Act, and the former law is continued in effect for that purpose.</w:t>
            </w:r>
          </w:p>
        </w:tc>
        <w:tc>
          <w:tcPr>
            <w:tcW w:w="6480" w:type="dxa"/>
          </w:tcPr>
          <w:p w:rsidR="00E40C42" w:rsidRDefault="007428D9">
            <w:pPr>
              <w:jc w:val="both"/>
            </w:pPr>
            <w:r>
              <w:lastRenderedPageBreak/>
              <w:t>SECTION 4. Same as House version.</w:t>
            </w:r>
          </w:p>
          <w:p w:rsidR="00E40C42" w:rsidRDefault="00E40C42">
            <w:pPr>
              <w:jc w:val="both"/>
            </w:pPr>
          </w:p>
          <w:p w:rsidR="00E40C42" w:rsidRDefault="00E40C42">
            <w:pPr>
              <w:jc w:val="both"/>
            </w:pPr>
          </w:p>
        </w:tc>
        <w:tc>
          <w:tcPr>
            <w:tcW w:w="5760" w:type="dxa"/>
          </w:tcPr>
          <w:p w:rsidR="00E40C42" w:rsidRDefault="00E40C42">
            <w:pPr>
              <w:jc w:val="both"/>
            </w:pPr>
          </w:p>
        </w:tc>
      </w:tr>
      <w:tr w:rsidR="00E40C42">
        <w:tc>
          <w:tcPr>
            <w:tcW w:w="6473" w:type="dxa"/>
          </w:tcPr>
          <w:p w:rsidR="00E40C42" w:rsidRDefault="007428D9">
            <w:pPr>
              <w:jc w:val="both"/>
            </w:pPr>
            <w:r>
              <w:lastRenderedPageBreak/>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tc>
        <w:tc>
          <w:tcPr>
            <w:tcW w:w="6480" w:type="dxa"/>
          </w:tcPr>
          <w:p w:rsidR="00E40C42" w:rsidRDefault="007428D9">
            <w:pPr>
              <w:jc w:val="both"/>
            </w:pPr>
            <w:r>
              <w:t>SECTION 5. Same as House version.</w:t>
            </w:r>
          </w:p>
          <w:p w:rsidR="00E40C42" w:rsidRDefault="00E40C42">
            <w:pPr>
              <w:jc w:val="both"/>
            </w:pPr>
          </w:p>
          <w:p w:rsidR="00E40C42" w:rsidRDefault="00E40C42">
            <w:pPr>
              <w:jc w:val="both"/>
            </w:pPr>
          </w:p>
        </w:tc>
        <w:tc>
          <w:tcPr>
            <w:tcW w:w="5760" w:type="dxa"/>
          </w:tcPr>
          <w:p w:rsidR="00E40C42" w:rsidRDefault="00E40C42">
            <w:pPr>
              <w:jc w:val="both"/>
            </w:pPr>
          </w:p>
        </w:tc>
      </w:tr>
    </w:tbl>
    <w:p w:rsidR="0089738E" w:rsidRDefault="0089738E"/>
    <w:sectPr w:rsidR="0089738E" w:rsidSect="00E40C4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42" w:rsidRDefault="00E40C42" w:rsidP="00E40C42">
      <w:r>
        <w:separator/>
      </w:r>
    </w:p>
  </w:endnote>
  <w:endnote w:type="continuationSeparator" w:id="0">
    <w:p w:rsidR="00E40C42" w:rsidRDefault="00E40C42" w:rsidP="00E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5E" w:rsidRDefault="008E3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42" w:rsidRDefault="001C6A4B">
    <w:pPr>
      <w:tabs>
        <w:tab w:val="center" w:pos="9360"/>
        <w:tab w:val="right" w:pos="18720"/>
      </w:tabs>
    </w:pPr>
    <w:r>
      <w:fldChar w:fldCharType="begin"/>
    </w:r>
    <w:r>
      <w:instrText xml:space="preserve"> DOCPROPERTY  CCRF  \* MERGEFORMAT </w:instrText>
    </w:r>
    <w:r>
      <w:fldChar w:fldCharType="separate"/>
    </w:r>
    <w:r w:rsidR="000207A4">
      <w:t xml:space="preserve"> </w:t>
    </w:r>
    <w:r>
      <w:fldChar w:fldCharType="end"/>
    </w:r>
    <w:r w:rsidR="007428D9">
      <w:tab/>
    </w:r>
    <w:r w:rsidR="00E40C42">
      <w:fldChar w:fldCharType="begin"/>
    </w:r>
    <w:r w:rsidR="007428D9">
      <w:instrText xml:space="preserve"> PAGE </w:instrText>
    </w:r>
    <w:r w:rsidR="00E40C42">
      <w:fldChar w:fldCharType="separate"/>
    </w:r>
    <w:r>
      <w:rPr>
        <w:noProof/>
      </w:rPr>
      <w:t>1</w:t>
    </w:r>
    <w:r w:rsidR="00E40C42">
      <w:fldChar w:fldCharType="end"/>
    </w:r>
    <w:r w:rsidR="007428D9">
      <w:tab/>
    </w:r>
    <w:r w:rsidR="00726075">
      <w:fldChar w:fldCharType="begin"/>
    </w:r>
    <w:r w:rsidR="00726075">
      <w:instrText xml:space="preserve"> DOCPROPERTY  OTID  \* MERGEFORMAT </w:instrText>
    </w:r>
    <w:r w:rsidR="0072607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5E" w:rsidRDefault="008E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42" w:rsidRDefault="00E40C42" w:rsidP="00E40C42">
      <w:r>
        <w:separator/>
      </w:r>
    </w:p>
  </w:footnote>
  <w:footnote w:type="continuationSeparator" w:id="0">
    <w:p w:rsidR="00E40C42" w:rsidRDefault="00E40C42" w:rsidP="00E4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5E" w:rsidRDefault="008E3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5E" w:rsidRDefault="008E3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5E" w:rsidRDefault="008E3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42"/>
    <w:rsid w:val="000207A4"/>
    <w:rsid w:val="001C6A4B"/>
    <w:rsid w:val="00726075"/>
    <w:rsid w:val="007428D9"/>
    <w:rsid w:val="0089738E"/>
    <w:rsid w:val="008E325E"/>
    <w:rsid w:val="009B2128"/>
    <w:rsid w:val="00C223A1"/>
    <w:rsid w:val="00E40C4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4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25E"/>
    <w:pPr>
      <w:tabs>
        <w:tab w:val="center" w:pos="4680"/>
        <w:tab w:val="right" w:pos="9360"/>
      </w:tabs>
    </w:pPr>
  </w:style>
  <w:style w:type="character" w:customStyle="1" w:styleId="HeaderChar">
    <w:name w:val="Header Char"/>
    <w:basedOn w:val="DefaultParagraphFont"/>
    <w:link w:val="Header"/>
    <w:uiPriority w:val="99"/>
    <w:rsid w:val="008E325E"/>
    <w:rPr>
      <w:sz w:val="22"/>
    </w:rPr>
  </w:style>
  <w:style w:type="paragraph" w:styleId="Footer">
    <w:name w:val="footer"/>
    <w:basedOn w:val="Normal"/>
    <w:link w:val="FooterChar"/>
    <w:uiPriority w:val="99"/>
    <w:unhideWhenUsed/>
    <w:rsid w:val="008E325E"/>
    <w:pPr>
      <w:tabs>
        <w:tab w:val="center" w:pos="4680"/>
        <w:tab w:val="right" w:pos="9360"/>
      </w:tabs>
    </w:pPr>
  </w:style>
  <w:style w:type="character" w:customStyle="1" w:styleId="FooterChar">
    <w:name w:val="Footer Char"/>
    <w:basedOn w:val="DefaultParagraphFont"/>
    <w:link w:val="Footer"/>
    <w:uiPriority w:val="99"/>
    <w:rsid w:val="008E325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4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25E"/>
    <w:pPr>
      <w:tabs>
        <w:tab w:val="center" w:pos="4680"/>
        <w:tab w:val="right" w:pos="9360"/>
      </w:tabs>
    </w:pPr>
  </w:style>
  <w:style w:type="character" w:customStyle="1" w:styleId="HeaderChar">
    <w:name w:val="Header Char"/>
    <w:basedOn w:val="DefaultParagraphFont"/>
    <w:link w:val="Header"/>
    <w:uiPriority w:val="99"/>
    <w:rsid w:val="008E325E"/>
    <w:rPr>
      <w:sz w:val="22"/>
    </w:rPr>
  </w:style>
  <w:style w:type="paragraph" w:styleId="Footer">
    <w:name w:val="footer"/>
    <w:basedOn w:val="Normal"/>
    <w:link w:val="FooterChar"/>
    <w:uiPriority w:val="99"/>
    <w:unhideWhenUsed/>
    <w:rsid w:val="008E325E"/>
    <w:pPr>
      <w:tabs>
        <w:tab w:val="center" w:pos="4680"/>
        <w:tab w:val="right" w:pos="9360"/>
      </w:tabs>
    </w:pPr>
  </w:style>
  <w:style w:type="character" w:customStyle="1" w:styleId="FooterChar">
    <w:name w:val="Footer Char"/>
    <w:basedOn w:val="DefaultParagraphFont"/>
    <w:link w:val="Footer"/>
    <w:uiPriority w:val="99"/>
    <w:rsid w:val="008E32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HB555-SAA</vt:lpstr>
    </vt:vector>
  </TitlesOfParts>
  <Company>Texas Legislative Council</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HB555-SAA</dc:title>
  <dc:creator>DAN</dc:creator>
  <cp:lastModifiedBy>DAN</cp:lastModifiedBy>
  <cp:revision>2</cp:revision>
  <dcterms:created xsi:type="dcterms:W3CDTF">2017-05-23T13:21:00Z</dcterms:created>
  <dcterms:modified xsi:type="dcterms:W3CDTF">2017-05-23T13:21:00Z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