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346" w:rsidRDefault="00E2034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1F96A9741144E839174C1AEC42947EF"/>
          </w:placeholder>
        </w:sdtPr>
        <w:sdtContent>
          <w:r w:rsidRPr="005C2A78">
            <w:rPr>
              <w:rFonts w:cs="Times New Roman"/>
              <w:b/>
              <w:szCs w:val="24"/>
              <w:u w:val="single"/>
            </w:rPr>
            <w:t>BILL ANALYSIS</w:t>
          </w:r>
        </w:sdtContent>
      </w:sdt>
    </w:p>
    <w:p w:rsidR="00E20346" w:rsidRPr="00585C31" w:rsidRDefault="00E20346" w:rsidP="000F1DF9">
      <w:pPr>
        <w:spacing w:after="0" w:line="240" w:lineRule="auto"/>
        <w:rPr>
          <w:rFonts w:cs="Times New Roman"/>
          <w:szCs w:val="24"/>
        </w:rPr>
      </w:pPr>
    </w:p>
    <w:p w:rsidR="00E20346" w:rsidRPr="00585C31" w:rsidRDefault="00E2034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20346" w:rsidTr="000F1DF9">
        <w:tc>
          <w:tcPr>
            <w:tcW w:w="2718" w:type="dxa"/>
          </w:tcPr>
          <w:p w:rsidR="00E20346" w:rsidRPr="005C2A78" w:rsidRDefault="00E20346" w:rsidP="006D756B">
            <w:pPr>
              <w:rPr>
                <w:rFonts w:cs="Times New Roman"/>
                <w:szCs w:val="24"/>
              </w:rPr>
            </w:pPr>
            <w:sdt>
              <w:sdtPr>
                <w:rPr>
                  <w:rFonts w:cs="Times New Roman"/>
                  <w:szCs w:val="24"/>
                </w:rPr>
                <w:alias w:val="Agency Title"/>
                <w:tag w:val="AgencyTitleContentControl"/>
                <w:id w:val="1920747753"/>
                <w:lock w:val="sdtContentLocked"/>
                <w:placeholder>
                  <w:docPart w:val="D7CE13C4AC074ADD80AF99BB10D54F2E"/>
                </w:placeholder>
              </w:sdtPr>
              <w:sdtEndPr>
                <w:rPr>
                  <w:rFonts w:cstheme="minorBidi"/>
                  <w:szCs w:val="22"/>
                </w:rPr>
              </w:sdtEndPr>
              <w:sdtContent>
                <w:r>
                  <w:rPr>
                    <w:rFonts w:cs="Times New Roman"/>
                    <w:szCs w:val="24"/>
                  </w:rPr>
                  <w:t>Senate Research Center</w:t>
                </w:r>
              </w:sdtContent>
            </w:sdt>
          </w:p>
        </w:tc>
        <w:tc>
          <w:tcPr>
            <w:tcW w:w="6858" w:type="dxa"/>
          </w:tcPr>
          <w:p w:rsidR="00E20346" w:rsidRPr="00FF6471" w:rsidRDefault="00E20346" w:rsidP="000F1DF9">
            <w:pPr>
              <w:jc w:val="right"/>
              <w:rPr>
                <w:rFonts w:cs="Times New Roman"/>
                <w:szCs w:val="24"/>
              </w:rPr>
            </w:pPr>
            <w:sdt>
              <w:sdtPr>
                <w:rPr>
                  <w:rFonts w:cs="Times New Roman"/>
                  <w:szCs w:val="24"/>
                </w:rPr>
                <w:alias w:val="Bill Number"/>
                <w:tag w:val="BillNumberOne"/>
                <w:id w:val="-410784069"/>
                <w:lock w:val="sdtContentLocked"/>
                <w:placeholder>
                  <w:docPart w:val="C5177DB04AE34353881E52D5CC8ADC0D"/>
                </w:placeholder>
              </w:sdtPr>
              <w:sdtContent>
                <w:r>
                  <w:rPr>
                    <w:rFonts w:cs="Times New Roman"/>
                    <w:szCs w:val="24"/>
                  </w:rPr>
                  <w:t>S.B. 507</w:t>
                </w:r>
              </w:sdtContent>
            </w:sdt>
          </w:p>
        </w:tc>
      </w:tr>
      <w:tr w:rsidR="00E20346" w:rsidTr="000F1DF9">
        <w:sdt>
          <w:sdtPr>
            <w:rPr>
              <w:rFonts w:cs="Times New Roman"/>
              <w:szCs w:val="24"/>
            </w:rPr>
            <w:alias w:val="TLCNumber"/>
            <w:tag w:val="TLCNumber"/>
            <w:id w:val="-542600604"/>
            <w:lock w:val="sdtLocked"/>
            <w:placeholder>
              <w:docPart w:val="46C86F73F69442BCBAF577D7C7ED4702"/>
            </w:placeholder>
            <w:showingPlcHdr/>
          </w:sdtPr>
          <w:sdtContent>
            <w:tc>
              <w:tcPr>
                <w:tcW w:w="2718" w:type="dxa"/>
              </w:tcPr>
              <w:p w:rsidR="00E20346" w:rsidRPr="000F1DF9" w:rsidRDefault="00E20346" w:rsidP="001C19EB">
                <w:pPr>
                  <w:rPr>
                    <w:rFonts w:cs="Times New Roman"/>
                    <w:szCs w:val="24"/>
                  </w:rPr>
                </w:pPr>
              </w:p>
            </w:tc>
          </w:sdtContent>
        </w:sdt>
        <w:tc>
          <w:tcPr>
            <w:tcW w:w="6858" w:type="dxa"/>
          </w:tcPr>
          <w:p w:rsidR="00E20346" w:rsidRPr="005C2A78" w:rsidRDefault="00E20346" w:rsidP="006D756B">
            <w:pPr>
              <w:jc w:val="right"/>
              <w:rPr>
                <w:rFonts w:cs="Times New Roman"/>
                <w:szCs w:val="24"/>
              </w:rPr>
            </w:pPr>
            <w:sdt>
              <w:sdtPr>
                <w:rPr>
                  <w:rFonts w:cs="Times New Roman"/>
                  <w:szCs w:val="24"/>
                </w:rPr>
                <w:alias w:val="Author Label"/>
                <w:tag w:val="By"/>
                <w:id w:val="72399597"/>
                <w:lock w:val="sdtLocked"/>
                <w:placeholder>
                  <w:docPart w:val="FD5E73A028EE4958A47BE1622624BA1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BC136E06A064AC8BB648750F1AF5026"/>
                </w:placeholder>
              </w:sdtPr>
              <w:sdtContent>
                <w:r>
                  <w:rPr>
                    <w:rFonts w:cs="Times New Roman"/>
                    <w:szCs w:val="24"/>
                  </w:rPr>
                  <w:t>Hancock</w:t>
                </w:r>
              </w:sdtContent>
            </w:sdt>
            <w:sdt>
              <w:sdtPr>
                <w:rPr>
                  <w:rFonts w:cs="Times New Roman"/>
                  <w:szCs w:val="24"/>
                </w:rPr>
                <w:alias w:val="Sponsor"/>
                <w:tag w:val="Sponsor"/>
                <w:id w:val="-2039656131"/>
                <w:lock w:val="sdtContentLocked"/>
                <w:placeholder>
                  <w:docPart w:val="05D34D8DAF5846648EB80EB3FBCAADFB"/>
                </w:placeholder>
                <w:showingPlcHdr/>
              </w:sdtPr>
              <w:sdtContent/>
            </w:sdt>
          </w:p>
        </w:tc>
      </w:tr>
      <w:tr w:rsidR="00E20346" w:rsidTr="000F1DF9">
        <w:tc>
          <w:tcPr>
            <w:tcW w:w="2718" w:type="dxa"/>
          </w:tcPr>
          <w:p w:rsidR="00E20346" w:rsidRPr="00BC7495" w:rsidRDefault="00E20346" w:rsidP="000F1DF9">
            <w:pPr>
              <w:rPr>
                <w:rFonts w:cs="Times New Roman"/>
                <w:szCs w:val="24"/>
              </w:rPr>
            </w:pPr>
          </w:p>
        </w:tc>
        <w:sdt>
          <w:sdtPr>
            <w:rPr>
              <w:rFonts w:cs="Times New Roman"/>
              <w:szCs w:val="24"/>
            </w:rPr>
            <w:alias w:val="Committee"/>
            <w:tag w:val="Committee"/>
            <w:id w:val="1914272295"/>
            <w:lock w:val="sdtContentLocked"/>
            <w:placeholder>
              <w:docPart w:val="71EE7EA594C94BD18AE0137DE2C2ADC0"/>
            </w:placeholder>
          </w:sdtPr>
          <w:sdtContent>
            <w:tc>
              <w:tcPr>
                <w:tcW w:w="6858" w:type="dxa"/>
              </w:tcPr>
              <w:p w:rsidR="00E20346" w:rsidRPr="00FF6471" w:rsidRDefault="00E20346" w:rsidP="000F1DF9">
                <w:pPr>
                  <w:jc w:val="right"/>
                  <w:rPr>
                    <w:rFonts w:cs="Times New Roman"/>
                    <w:szCs w:val="24"/>
                  </w:rPr>
                </w:pPr>
                <w:r>
                  <w:rPr>
                    <w:rFonts w:cs="Times New Roman"/>
                    <w:szCs w:val="24"/>
                  </w:rPr>
                  <w:t>Business &amp; Commerce</w:t>
                </w:r>
              </w:p>
            </w:tc>
          </w:sdtContent>
        </w:sdt>
      </w:tr>
      <w:tr w:rsidR="00E20346" w:rsidTr="000F1DF9">
        <w:tc>
          <w:tcPr>
            <w:tcW w:w="2718" w:type="dxa"/>
          </w:tcPr>
          <w:p w:rsidR="00E20346" w:rsidRPr="00BC7495" w:rsidRDefault="00E20346" w:rsidP="000F1DF9">
            <w:pPr>
              <w:rPr>
                <w:rFonts w:cs="Times New Roman"/>
                <w:szCs w:val="24"/>
              </w:rPr>
            </w:pPr>
          </w:p>
        </w:tc>
        <w:sdt>
          <w:sdtPr>
            <w:rPr>
              <w:rFonts w:cs="Times New Roman"/>
              <w:szCs w:val="24"/>
            </w:rPr>
            <w:alias w:val="Date"/>
            <w:tag w:val="DateContentControl"/>
            <w:id w:val="1178081906"/>
            <w:lock w:val="sdtLocked"/>
            <w:placeholder>
              <w:docPart w:val="FA036ABBF07F428486039D64285C802B"/>
            </w:placeholder>
            <w:date w:fullDate="2017-06-26T00:00:00Z">
              <w:dateFormat w:val="M/d/yyyy"/>
              <w:lid w:val="en-US"/>
              <w:storeMappedDataAs w:val="dateTime"/>
              <w:calendar w:val="gregorian"/>
            </w:date>
          </w:sdtPr>
          <w:sdtContent>
            <w:tc>
              <w:tcPr>
                <w:tcW w:w="6858" w:type="dxa"/>
              </w:tcPr>
              <w:p w:rsidR="00E20346" w:rsidRPr="00FF6471" w:rsidRDefault="00E20346" w:rsidP="000F1DF9">
                <w:pPr>
                  <w:jc w:val="right"/>
                  <w:rPr>
                    <w:rFonts w:cs="Times New Roman"/>
                    <w:szCs w:val="24"/>
                  </w:rPr>
                </w:pPr>
                <w:r>
                  <w:rPr>
                    <w:rFonts w:cs="Times New Roman"/>
                    <w:szCs w:val="24"/>
                  </w:rPr>
                  <w:t>6/26/2017</w:t>
                </w:r>
              </w:p>
            </w:tc>
          </w:sdtContent>
        </w:sdt>
      </w:tr>
      <w:tr w:rsidR="00E20346" w:rsidTr="000F1DF9">
        <w:tc>
          <w:tcPr>
            <w:tcW w:w="2718" w:type="dxa"/>
          </w:tcPr>
          <w:p w:rsidR="00E20346" w:rsidRPr="00BC7495" w:rsidRDefault="00E20346" w:rsidP="000F1DF9">
            <w:pPr>
              <w:rPr>
                <w:rFonts w:cs="Times New Roman"/>
                <w:szCs w:val="24"/>
              </w:rPr>
            </w:pPr>
          </w:p>
        </w:tc>
        <w:sdt>
          <w:sdtPr>
            <w:rPr>
              <w:rFonts w:cs="Times New Roman"/>
              <w:szCs w:val="24"/>
            </w:rPr>
            <w:alias w:val="BA Version"/>
            <w:tag w:val="BAVersion"/>
            <w:id w:val="-1685590809"/>
            <w:lock w:val="sdtContentLocked"/>
            <w:placeholder>
              <w:docPart w:val="847CFB7D90D549E09F80FF815F7FA7B6"/>
            </w:placeholder>
          </w:sdtPr>
          <w:sdtContent>
            <w:tc>
              <w:tcPr>
                <w:tcW w:w="6858" w:type="dxa"/>
              </w:tcPr>
              <w:p w:rsidR="00E20346" w:rsidRPr="00FF6471" w:rsidRDefault="00E20346" w:rsidP="000F1DF9">
                <w:pPr>
                  <w:jc w:val="right"/>
                  <w:rPr>
                    <w:rFonts w:cs="Times New Roman"/>
                    <w:szCs w:val="24"/>
                  </w:rPr>
                </w:pPr>
                <w:r>
                  <w:rPr>
                    <w:rFonts w:cs="Times New Roman"/>
                    <w:szCs w:val="24"/>
                  </w:rPr>
                  <w:t>Enrolled</w:t>
                </w:r>
              </w:p>
            </w:tc>
          </w:sdtContent>
        </w:sdt>
      </w:tr>
    </w:tbl>
    <w:p w:rsidR="00E20346" w:rsidRPr="00FF6471" w:rsidRDefault="00E20346" w:rsidP="000F1DF9">
      <w:pPr>
        <w:spacing w:after="0" w:line="240" w:lineRule="auto"/>
        <w:rPr>
          <w:rFonts w:cs="Times New Roman"/>
          <w:szCs w:val="24"/>
        </w:rPr>
      </w:pPr>
    </w:p>
    <w:p w:rsidR="00E20346" w:rsidRPr="00FF6471" w:rsidRDefault="00E20346" w:rsidP="000F1DF9">
      <w:pPr>
        <w:spacing w:after="0" w:line="240" w:lineRule="auto"/>
        <w:rPr>
          <w:rFonts w:cs="Times New Roman"/>
          <w:szCs w:val="24"/>
        </w:rPr>
      </w:pPr>
    </w:p>
    <w:p w:rsidR="00E20346" w:rsidRPr="00FF6471" w:rsidRDefault="00E2034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B14E9F1B6FF4EDD83CE7247BA1ADAD3"/>
        </w:placeholder>
      </w:sdtPr>
      <w:sdtContent>
        <w:p w:rsidR="00E20346" w:rsidRDefault="00E2034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EE1ABE45A2D40E9B11F7616D8CE1B09"/>
        </w:placeholder>
      </w:sdtPr>
      <w:sdtContent>
        <w:p w:rsidR="00E20346" w:rsidRDefault="00E20346" w:rsidP="00485580">
          <w:pPr>
            <w:pStyle w:val="NormalWeb"/>
            <w:spacing w:before="0" w:beforeAutospacing="0" w:after="0" w:afterAutospacing="0"/>
            <w:jc w:val="both"/>
            <w:divId w:val="1751271862"/>
            <w:rPr>
              <w:rFonts w:eastAsia="Times New Roman" w:cstheme="minorBidi"/>
              <w:bCs/>
              <w:szCs w:val="22"/>
            </w:rPr>
          </w:pPr>
        </w:p>
        <w:p w:rsidR="00E20346" w:rsidRDefault="00E20346" w:rsidP="00485580">
          <w:pPr>
            <w:pStyle w:val="NormalWeb"/>
            <w:spacing w:before="0" w:beforeAutospacing="0" w:after="0" w:afterAutospacing="0"/>
            <w:jc w:val="both"/>
            <w:divId w:val="1751271862"/>
          </w:pPr>
          <w:r w:rsidRPr="001C19EB">
            <w:t>Balance billing is the practice of physicians billing a patient for the portion of medical expenses not covered by the patient's insurance. This most commonly occurs when a facility-based physician does not have a contract with the same health benefit plans that have contracted with the facility in which they practice. An enrollee who is admitted into one of these facilities becomes ultimately responsible for an unexpected bill.</w:t>
          </w:r>
        </w:p>
        <w:p w:rsidR="00E20346" w:rsidRPr="001C19EB" w:rsidRDefault="00E20346" w:rsidP="00485580">
          <w:pPr>
            <w:pStyle w:val="NormalWeb"/>
            <w:spacing w:before="0" w:beforeAutospacing="0" w:after="0" w:afterAutospacing="0"/>
            <w:jc w:val="both"/>
            <w:divId w:val="1751271862"/>
          </w:pPr>
        </w:p>
        <w:p w:rsidR="00E20346" w:rsidRDefault="00E20346" w:rsidP="00485580">
          <w:pPr>
            <w:pStyle w:val="NormalWeb"/>
            <w:spacing w:before="0" w:beforeAutospacing="0" w:after="0" w:afterAutospacing="0"/>
            <w:jc w:val="both"/>
            <w:divId w:val="1751271862"/>
          </w:pPr>
          <w:r w:rsidRPr="001C19EB">
            <w:t>Prior to the passage of H.B. 2256, 81st Legislature, Regular Session, 2009, there was no remedy for this unexpected bill other than the patient attempting to set up a payment plan with the facility-based physician. H.B. 2256 established a new mediation process for patients who are balance billed if the bill is more than $1,000. Despite the success of mediation, balance billing continues to be common practice, including in emergency care situations.</w:t>
          </w:r>
        </w:p>
        <w:p w:rsidR="00E20346" w:rsidRPr="001C19EB" w:rsidRDefault="00E20346" w:rsidP="00485580">
          <w:pPr>
            <w:pStyle w:val="NormalWeb"/>
            <w:spacing w:before="0" w:beforeAutospacing="0" w:after="0" w:afterAutospacing="0"/>
            <w:jc w:val="both"/>
            <w:divId w:val="1751271862"/>
          </w:pPr>
        </w:p>
        <w:p w:rsidR="00E20346" w:rsidRPr="001C19EB" w:rsidRDefault="00E20346" w:rsidP="00485580">
          <w:pPr>
            <w:pStyle w:val="NormalWeb"/>
            <w:spacing w:before="0" w:beforeAutospacing="0" w:after="0" w:afterAutospacing="0"/>
            <w:jc w:val="both"/>
            <w:divId w:val="1751271862"/>
          </w:pPr>
          <w:r w:rsidRPr="001C19EB">
            <w:t>S.B. 481 by Senator Hancock, 84th Legislature, Regular Session, 2015, expanded options for mediation by reducing the claim threshold from $1,000 to $500. The legislation added assistant surgeons to the list of providers subject to mediation and requires patients to be notified about the option of mediation. Current law now includes facility-based radiologists, anesthesiologists, pathologists, ER physicians, neonatologists, and assistant surgeons as providers subject to mediation. (Original Author's / Sponsor's Statement of Intent)</w:t>
          </w:r>
        </w:p>
        <w:p w:rsidR="00E20346" w:rsidRDefault="00E20346" w:rsidP="00485580">
          <w:pPr>
            <w:spacing w:after="0" w:line="240" w:lineRule="auto"/>
            <w:jc w:val="both"/>
            <w:rPr>
              <w:rFonts w:eastAsia="Times New Roman" w:cs="Times New Roman"/>
              <w:bCs/>
              <w:szCs w:val="24"/>
            </w:rPr>
          </w:pPr>
        </w:p>
        <w:p w:rsidR="00E20346" w:rsidRDefault="00E20346" w:rsidP="00485580">
          <w:pPr>
            <w:spacing w:after="0" w:line="240" w:lineRule="auto"/>
            <w:jc w:val="both"/>
            <w:rPr>
              <w:rFonts w:eastAsia="Times New Roman" w:cs="Times New Roman"/>
              <w:bCs/>
              <w:szCs w:val="24"/>
            </w:rPr>
          </w:pPr>
          <w:r>
            <w:rPr>
              <w:rFonts w:eastAsia="Times New Roman" w:cs="Times New Roman"/>
              <w:bCs/>
              <w:szCs w:val="24"/>
            </w:rPr>
            <w:t xml:space="preserve">S.B. 507 amends current law relating to mediation of the settlement of certain out-of-network health benefit claims involving balance billing. </w:t>
          </w:r>
        </w:p>
        <w:p w:rsidR="00E20346" w:rsidRPr="0059396C" w:rsidRDefault="00E20346" w:rsidP="00485580">
          <w:pPr>
            <w:spacing w:after="0" w:line="240" w:lineRule="auto"/>
            <w:jc w:val="both"/>
            <w:rPr>
              <w:rFonts w:eastAsia="Times New Roman" w:cs="Times New Roman"/>
              <w:bCs/>
              <w:szCs w:val="24"/>
            </w:rPr>
          </w:pPr>
        </w:p>
      </w:sdtContent>
    </w:sdt>
    <w:bookmarkStart w:id="0" w:name="EnrolledProposed" w:displacedByCustomXml="prev"/>
    <w:bookmarkEnd w:id="0" w:displacedByCustomXml="prev"/>
    <w:sdt>
      <w:sdtPr>
        <w:rPr>
          <w:rFonts w:eastAsia="Times New Roman" w:cs="Times New Roman"/>
          <w:b/>
          <w:szCs w:val="24"/>
          <w:u w:val="single"/>
        </w:rPr>
        <w:tag w:val="RuleMakingAuthorityContentControl"/>
        <w:id w:val="-912158419"/>
        <w:placeholder>
          <w:docPart w:val="F8197F306C8D4C3AA07E8FFCF469500E"/>
        </w:placeholder>
      </w:sdtPr>
      <w:sdtContent>
        <w:p w:rsidR="00E20346" w:rsidRPr="005C2A78" w:rsidRDefault="00E20346" w:rsidP="000F1DF9">
          <w:pPr>
            <w:spacing w:after="0" w:line="240" w:lineRule="auto"/>
            <w:jc w:val="both"/>
            <w:rPr>
              <w:rFonts w:eastAsia="Times New Roman" w:cs="Times New Roman"/>
              <w:b/>
              <w:szCs w:val="24"/>
              <w:u w:val="single"/>
            </w:rPr>
          </w:pPr>
          <w:r>
            <w:rPr>
              <w:rFonts w:eastAsia="Times New Roman" w:cs="Times New Roman"/>
              <w:b/>
              <w:szCs w:val="24"/>
              <w:u w:val="single"/>
            </w:rPr>
            <w:t>RULEMAKING AUTHORITY</w:t>
          </w:r>
        </w:p>
      </w:sdtContent>
    </w:sdt>
    <w:p w:rsidR="00E20346" w:rsidRPr="006529C4" w:rsidRDefault="00E20346" w:rsidP="00774EC7">
      <w:pPr>
        <w:spacing w:after="0" w:line="240" w:lineRule="auto"/>
        <w:jc w:val="both"/>
        <w:rPr>
          <w:rFonts w:cs="Times New Roman"/>
          <w:szCs w:val="24"/>
        </w:rPr>
      </w:pPr>
    </w:p>
    <w:p w:rsidR="00E20346" w:rsidRDefault="00E20346" w:rsidP="00774EC7">
      <w:pPr>
        <w:spacing w:after="0" w:line="240" w:lineRule="auto"/>
        <w:jc w:val="both"/>
        <w:rPr>
          <w:rFonts w:cs="Times New Roman"/>
          <w:szCs w:val="24"/>
        </w:rPr>
      </w:pPr>
      <w:r>
        <w:rPr>
          <w:rFonts w:cs="Times New Roman"/>
          <w:szCs w:val="24"/>
        </w:rPr>
        <w:t>Rulemaking authority is expressly granted to an appropriate regulatory agency in SECTION 3 (Section 1467.003, Insurance Code) and SECTION 16 (Section 1467.151, Insurance Code) of this bill.</w:t>
      </w:r>
    </w:p>
    <w:p w:rsidR="00E20346" w:rsidRDefault="00E20346" w:rsidP="00774EC7">
      <w:pPr>
        <w:spacing w:after="0" w:line="240" w:lineRule="auto"/>
        <w:jc w:val="both"/>
        <w:rPr>
          <w:rFonts w:cs="Times New Roman"/>
          <w:szCs w:val="24"/>
        </w:rPr>
      </w:pPr>
    </w:p>
    <w:p w:rsidR="00E20346" w:rsidRDefault="00E20346" w:rsidP="00774EC7">
      <w:pPr>
        <w:spacing w:after="0" w:line="240" w:lineRule="auto"/>
        <w:jc w:val="both"/>
        <w:rPr>
          <w:rFonts w:cs="Times New Roman"/>
          <w:szCs w:val="24"/>
        </w:rPr>
      </w:pPr>
      <w:r>
        <w:rPr>
          <w:rFonts w:cs="Times New Roman"/>
          <w:szCs w:val="24"/>
        </w:rPr>
        <w:t>Rulemaking authority previously granted to the commissioner of insurance and the Texas Medical Board is modified in SECTION 16 (Section 1467.151, Insurance Code) of this bill.</w:t>
      </w:r>
    </w:p>
    <w:p w:rsidR="00E20346" w:rsidRPr="006529C4" w:rsidRDefault="00E20346" w:rsidP="00774EC7">
      <w:pPr>
        <w:spacing w:after="0" w:line="240" w:lineRule="auto"/>
        <w:jc w:val="both"/>
        <w:rPr>
          <w:rFonts w:cs="Times New Roman"/>
          <w:szCs w:val="24"/>
        </w:rPr>
      </w:pPr>
    </w:p>
    <w:p w:rsidR="00E20346" w:rsidRPr="005C2A78" w:rsidRDefault="00E2034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6357BC8BBD94FC68A10DC928912E566"/>
          </w:placeholder>
        </w:sdtPr>
        <w:sdtContent>
          <w:r>
            <w:rPr>
              <w:rFonts w:eastAsia="Times New Roman" w:cs="Times New Roman"/>
              <w:b/>
              <w:szCs w:val="24"/>
              <w:u w:val="single"/>
            </w:rPr>
            <w:t>SECTION BY SECTION ANALYSIS</w:t>
          </w:r>
        </w:sdtContent>
      </w:sdt>
    </w:p>
    <w:p w:rsidR="00E20346" w:rsidRPr="005C2A78" w:rsidRDefault="00E20346" w:rsidP="000F1DF9">
      <w:pPr>
        <w:spacing w:after="0" w:line="240" w:lineRule="auto"/>
        <w:jc w:val="both"/>
        <w:rPr>
          <w:rFonts w:eastAsia="Times New Roman" w:cs="Times New Roman"/>
          <w:szCs w:val="24"/>
        </w:rPr>
      </w:pPr>
    </w:p>
    <w:p w:rsidR="00E20346" w:rsidRPr="005C2A78" w:rsidRDefault="00E2034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1467.001, Insurance Code, by amending Subdivisions (1), (3), (5), and (7) to redefine "administrator," "enrollee," "mediation," and "party," amending Subdivision (4) to define "facility-based provider," rather than "facility-based physician," and adding Subdivisions (2-a), (2-b), (3-a), and (4-a) to define "emergency care," "emergency care provider," "facility," and "health care practitioner."</w:t>
      </w:r>
    </w:p>
    <w:p w:rsidR="00E20346" w:rsidRPr="005C2A78" w:rsidRDefault="00E20346" w:rsidP="000F1DF9">
      <w:pPr>
        <w:spacing w:after="0" w:line="240" w:lineRule="auto"/>
        <w:jc w:val="both"/>
        <w:rPr>
          <w:rFonts w:eastAsia="Times New Roman" w:cs="Times New Roman"/>
          <w:szCs w:val="24"/>
        </w:rPr>
      </w:pPr>
    </w:p>
    <w:p w:rsidR="00E20346" w:rsidRPr="005C2A78" w:rsidRDefault="00E2034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1467.002, Insurance Code, to provide that this chapter (Out-of-Network Claim Dispute Resolution) applies to an administrator of a health benefit plan, other than a health maintenance organization plan, under Chapter 1551 (Texas Employees Group Benefits Act), 1575 (Texas Public School Employees Group Benefits Program), or 1579 (Texas School Employees Uniform Group Health Coverage), rather than under Chapter 1551.</w:t>
      </w:r>
    </w:p>
    <w:p w:rsidR="00E20346" w:rsidRPr="005C2A78" w:rsidRDefault="00E20346" w:rsidP="000F1DF9">
      <w:pPr>
        <w:spacing w:after="0" w:line="240" w:lineRule="auto"/>
        <w:jc w:val="both"/>
        <w:rPr>
          <w:rFonts w:eastAsia="Times New Roman" w:cs="Times New Roman"/>
          <w:szCs w:val="24"/>
        </w:rPr>
      </w:pPr>
    </w:p>
    <w:p w:rsidR="00E20346" w:rsidRDefault="00E20346"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 1467.003, Insurance Code, to require the commissioner of insurance (commissioner), the Texas Medical Board (TMB), any other appropriate regulatory agency, and the chief administrative judge, rather than the commissioner, TMB, and the chief administrative law judge, to adopt necessary rules to implement their respective powers and duties. </w:t>
      </w:r>
    </w:p>
    <w:p w:rsidR="00E20346" w:rsidRDefault="00E20346" w:rsidP="000F1DF9">
      <w:pPr>
        <w:spacing w:after="0" w:line="240" w:lineRule="auto"/>
        <w:jc w:val="both"/>
        <w:rPr>
          <w:rFonts w:eastAsia="Times New Roman" w:cs="Times New Roman"/>
          <w:szCs w:val="24"/>
        </w:rPr>
      </w:pPr>
    </w:p>
    <w:p w:rsidR="00E20346" w:rsidRDefault="00E20346" w:rsidP="000F1DF9">
      <w:pPr>
        <w:spacing w:after="0" w:line="240" w:lineRule="auto"/>
        <w:jc w:val="both"/>
        <w:rPr>
          <w:rFonts w:eastAsia="Times New Roman" w:cs="Times New Roman"/>
          <w:szCs w:val="24"/>
        </w:rPr>
      </w:pPr>
      <w:r>
        <w:rPr>
          <w:rFonts w:eastAsia="Times New Roman" w:cs="Times New Roman"/>
          <w:szCs w:val="24"/>
        </w:rPr>
        <w:t xml:space="preserve">SECTION 4. Amends Section 1467.005, Insurance Code, to prohibit this chapter from being construed to prohibit a facility-based provider or emergency care provider, rather than a facility-based physician, from, at any time, offering a reformed charge for health care or medical services or supplies, rather than for medical services. </w:t>
      </w:r>
    </w:p>
    <w:p w:rsidR="00E20346" w:rsidRDefault="00E20346" w:rsidP="000F1DF9">
      <w:pPr>
        <w:spacing w:after="0" w:line="240" w:lineRule="auto"/>
        <w:jc w:val="both"/>
        <w:rPr>
          <w:rFonts w:eastAsia="Times New Roman" w:cs="Times New Roman"/>
          <w:szCs w:val="24"/>
        </w:rPr>
      </w:pPr>
    </w:p>
    <w:p w:rsidR="00E20346" w:rsidRDefault="00E20346" w:rsidP="000F1DF9">
      <w:pPr>
        <w:spacing w:after="0" w:line="240" w:lineRule="auto"/>
        <w:jc w:val="both"/>
        <w:rPr>
          <w:rFonts w:eastAsia="Times New Roman" w:cs="Times New Roman"/>
          <w:szCs w:val="24"/>
        </w:rPr>
      </w:pPr>
      <w:r>
        <w:rPr>
          <w:rFonts w:eastAsia="Times New Roman" w:cs="Times New Roman"/>
          <w:szCs w:val="24"/>
        </w:rPr>
        <w:t xml:space="preserve">SECTION 5. Amends Section 1467.051, Insurance Code, as follows: </w:t>
      </w:r>
    </w:p>
    <w:p w:rsidR="00E20346" w:rsidRDefault="00E20346" w:rsidP="000F1DF9">
      <w:pPr>
        <w:spacing w:after="0" w:line="240" w:lineRule="auto"/>
        <w:jc w:val="both"/>
        <w:rPr>
          <w:rFonts w:eastAsia="Times New Roman" w:cs="Times New Roman"/>
          <w:szCs w:val="24"/>
        </w:rPr>
      </w:pPr>
    </w:p>
    <w:p w:rsidR="00E20346" w:rsidRDefault="00E20346" w:rsidP="00397698">
      <w:pPr>
        <w:spacing w:after="0" w:line="240" w:lineRule="auto"/>
        <w:ind w:left="720"/>
        <w:jc w:val="both"/>
        <w:rPr>
          <w:rFonts w:eastAsia="Times New Roman" w:cs="Times New Roman"/>
          <w:szCs w:val="24"/>
        </w:rPr>
      </w:pPr>
      <w:r>
        <w:rPr>
          <w:rFonts w:eastAsia="Times New Roman" w:cs="Times New Roman"/>
          <w:szCs w:val="24"/>
        </w:rPr>
        <w:t>Sec. 1467.051. AVAILABILITY OF MANDATORY MEDIATION; EXCEPTION. (a) Authorizes an enrollee to request mediation of a settlement of an out-of-network health benefit claim if:</w:t>
      </w:r>
    </w:p>
    <w:p w:rsidR="00E20346" w:rsidRDefault="00E20346" w:rsidP="00397698">
      <w:pPr>
        <w:spacing w:after="0" w:line="240" w:lineRule="auto"/>
        <w:ind w:left="720"/>
        <w:jc w:val="both"/>
        <w:rPr>
          <w:rFonts w:eastAsia="Times New Roman" w:cs="Times New Roman"/>
          <w:szCs w:val="24"/>
        </w:rPr>
      </w:pPr>
    </w:p>
    <w:p w:rsidR="00E20346" w:rsidRDefault="00E20346" w:rsidP="00397698">
      <w:pPr>
        <w:spacing w:after="0" w:line="240" w:lineRule="auto"/>
        <w:ind w:left="2160"/>
        <w:jc w:val="both"/>
        <w:rPr>
          <w:rFonts w:eastAsia="Times New Roman" w:cs="Times New Roman"/>
          <w:szCs w:val="24"/>
        </w:rPr>
      </w:pPr>
      <w:r>
        <w:rPr>
          <w:rFonts w:eastAsia="Times New Roman" w:cs="Times New Roman"/>
          <w:szCs w:val="24"/>
        </w:rPr>
        <w:t>(1) makes a conforming change;</w:t>
      </w:r>
    </w:p>
    <w:p w:rsidR="00E20346" w:rsidRDefault="00E20346" w:rsidP="00397698">
      <w:pPr>
        <w:spacing w:after="0" w:line="240" w:lineRule="auto"/>
        <w:ind w:left="720"/>
        <w:jc w:val="both"/>
        <w:rPr>
          <w:rFonts w:eastAsia="Times New Roman" w:cs="Times New Roman"/>
          <w:szCs w:val="24"/>
        </w:rPr>
      </w:pPr>
    </w:p>
    <w:p w:rsidR="00E20346" w:rsidRDefault="00E20346" w:rsidP="00397698">
      <w:pPr>
        <w:spacing w:after="0" w:line="240" w:lineRule="auto"/>
        <w:ind w:left="2160"/>
        <w:jc w:val="both"/>
        <w:rPr>
          <w:rFonts w:eastAsia="Times New Roman" w:cs="Times New Roman"/>
          <w:szCs w:val="24"/>
        </w:rPr>
      </w:pPr>
      <w:r>
        <w:rPr>
          <w:rFonts w:eastAsia="Times New Roman" w:cs="Times New Roman"/>
          <w:szCs w:val="24"/>
        </w:rPr>
        <w:t>(2) the health benefit claim is for emergency care or a health care or medical service or supply provided by a facility-based provider in a facility, rather than a facility-based physician in a hospital, that meets certain criteria.</w:t>
      </w:r>
    </w:p>
    <w:p w:rsidR="00E20346" w:rsidRDefault="00E20346" w:rsidP="00397698">
      <w:pPr>
        <w:spacing w:after="0" w:line="240" w:lineRule="auto"/>
        <w:ind w:left="2160"/>
        <w:jc w:val="both"/>
        <w:rPr>
          <w:rFonts w:eastAsia="Times New Roman" w:cs="Times New Roman"/>
          <w:szCs w:val="24"/>
        </w:rPr>
      </w:pPr>
    </w:p>
    <w:p w:rsidR="00E20346" w:rsidRDefault="00E20346" w:rsidP="00381057">
      <w:pPr>
        <w:spacing w:after="0" w:line="240" w:lineRule="auto"/>
        <w:ind w:left="1440"/>
        <w:jc w:val="both"/>
        <w:rPr>
          <w:rFonts w:eastAsia="Times New Roman" w:cs="Times New Roman"/>
          <w:szCs w:val="24"/>
        </w:rPr>
      </w:pPr>
      <w:r>
        <w:rPr>
          <w:rFonts w:eastAsia="Times New Roman" w:cs="Times New Roman"/>
          <w:szCs w:val="24"/>
        </w:rPr>
        <w:t xml:space="preserve">(b) through (d) Makes conforming and nonsubstantive changes.  </w:t>
      </w:r>
    </w:p>
    <w:p w:rsidR="00E20346" w:rsidRDefault="00E20346" w:rsidP="00BF51A7">
      <w:pPr>
        <w:spacing w:after="0" w:line="240" w:lineRule="auto"/>
        <w:jc w:val="both"/>
        <w:rPr>
          <w:rFonts w:eastAsia="Times New Roman" w:cs="Times New Roman"/>
          <w:szCs w:val="24"/>
        </w:rPr>
      </w:pPr>
    </w:p>
    <w:p w:rsidR="00E20346" w:rsidRDefault="00E20346" w:rsidP="00397698">
      <w:pPr>
        <w:spacing w:after="0" w:line="240" w:lineRule="auto"/>
        <w:jc w:val="both"/>
        <w:rPr>
          <w:rFonts w:eastAsia="Times New Roman" w:cs="Times New Roman"/>
          <w:szCs w:val="24"/>
        </w:rPr>
      </w:pPr>
      <w:r>
        <w:rPr>
          <w:rFonts w:eastAsia="Times New Roman" w:cs="Times New Roman"/>
          <w:szCs w:val="24"/>
        </w:rPr>
        <w:t>SECTION 6. Amends Subchapter B, Chapter 1467, Insurance Code, by adding Section 1467.0511, as follows:</w:t>
      </w:r>
    </w:p>
    <w:p w:rsidR="00E20346" w:rsidRDefault="00E20346" w:rsidP="00397698">
      <w:pPr>
        <w:spacing w:after="0" w:line="240" w:lineRule="auto"/>
        <w:jc w:val="both"/>
        <w:rPr>
          <w:rFonts w:eastAsia="Times New Roman" w:cs="Times New Roman"/>
          <w:szCs w:val="24"/>
        </w:rPr>
      </w:pPr>
    </w:p>
    <w:p w:rsidR="00E20346" w:rsidRDefault="00E20346" w:rsidP="00BF51A7">
      <w:pPr>
        <w:spacing w:after="0" w:line="240" w:lineRule="auto"/>
        <w:ind w:left="720"/>
        <w:jc w:val="both"/>
        <w:rPr>
          <w:rFonts w:eastAsia="Times New Roman" w:cs="Times New Roman"/>
          <w:szCs w:val="24"/>
        </w:rPr>
      </w:pPr>
      <w:r>
        <w:rPr>
          <w:rFonts w:eastAsia="Times New Roman" w:cs="Times New Roman"/>
          <w:szCs w:val="24"/>
        </w:rPr>
        <w:t xml:space="preserve">Sec. 1467.0511. NOTICE AND INFORMATION PROVIDED TO ENROLLEE. (a) Requires that a bill sent to an enrollee by a facility-based provider or emergency care provider or an explanation of benefits sent to an enrollee by an insurer or administrator for an out-of-network health benefit claim eligible for mediation contain, in not less than certain type and language, an explanation of the mediation process, including information on how to request mediation and a statement that is substantially similar to the provided language. </w:t>
      </w:r>
    </w:p>
    <w:p w:rsidR="00E20346" w:rsidRDefault="00E20346" w:rsidP="00BF51A7">
      <w:pPr>
        <w:spacing w:after="0" w:line="240" w:lineRule="auto"/>
        <w:ind w:left="720"/>
        <w:jc w:val="both"/>
        <w:rPr>
          <w:rFonts w:eastAsia="Times New Roman" w:cs="Times New Roman"/>
          <w:szCs w:val="24"/>
        </w:rPr>
      </w:pPr>
    </w:p>
    <w:p w:rsidR="00E20346" w:rsidRDefault="00E20346" w:rsidP="00BF51A7">
      <w:pPr>
        <w:spacing w:after="0" w:line="240" w:lineRule="auto"/>
        <w:ind w:left="1440"/>
        <w:jc w:val="both"/>
        <w:rPr>
          <w:rFonts w:eastAsia="Times New Roman" w:cs="Times New Roman"/>
          <w:szCs w:val="24"/>
        </w:rPr>
      </w:pPr>
      <w:r>
        <w:rPr>
          <w:rFonts w:eastAsia="Times New Roman" w:cs="Times New Roman"/>
          <w:szCs w:val="24"/>
        </w:rPr>
        <w:t>(b)  Provides that, if an enrollee contacts an insurer, administrator, facility-based provider, or emergency care provider about a bill that may be eligible for mediation, the insurer, administrator, facility-based provider, or emergency care provider is encouraged to:</w:t>
      </w:r>
    </w:p>
    <w:p w:rsidR="00E20346" w:rsidRDefault="00E20346" w:rsidP="00BF51A7">
      <w:pPr>
        <w:spacing w:after="0" w:line="240" w:lineRule="auto"/>
        <w:ind w:left="1440"/>
        <w:jc w:val="both"/>
        <w:rPr>
          <w:rFonts w:eastAsia="Times New Roman" w:cs="Times New Roman"/>
          <w:szCs w:val="24"/>
        </w:rPr>
      </w:pPr>
    </w:p>
    <w:p w:rsidR="00E20346" w:rsidRDefault="00E20346" w:rsidP="00BF51A7">
      <w:pPr>
        <w:spacing w:after="0" w:line="240" w:lineRule="auto"/>
        <w:ind w:left="2160"/>
        <w:jc w:val="both"/>
        <w:rPr>
          <w:rFonts w:eastAsia="Times New Roman" w:cs="Times New Roman"/>
          <w:szCs w:val="24"/>
        </w:rPr>
      </w:pPr>
      <w:r>
        <w:rPr>
          <w:rFonts w:eastAsia="Times New Roman" w:cs="Times New Roman"/>
          <w:szCs w:val="24"/>
        </w:rPr>
        <w:t xml:space="preserve">(1) inform the enrollee about mediation; and </w:t>
      </w:r>
    </w:p>
    <w:p w:rsidR="00E20346" w:rsidRDefault="00E20346" w:rsidP="00BF51A7">
      <w:pPr>
        <w:spacing w:after="0" w:line="240" w:lineRule="auto"/>
        <w:ind w:left="2160"/>
        <w:jc w:val="both"/>
        <w:rPr>
          <w:rFonts w:eastAsia="Times New Roman" w:cs="Times New Roman"/>
          <w:szCs w:val="24"/>
        </w:rPr>
      </w:pPr>
    </w:p>
    <w:p w:rsidR="00E20346" w:rsidRDefault="00E20346" w:rsidP="00BF51A7">
      <w:pPr>
        <w:spacing w:after="0" w:line="240" w:lineRule="auto"/>
        <w:ind w:left="2160"/>
        <w:jc w:val="both"/>
        <w:rPr>
          <w:rFonts w:eastAsia="Times New Roman" w:cs="Times New Roman"/>
          <w:szCs w:val="24"/>
        </w:rPr>
      </w:pPr>
      <w:r>
        <w:rPr>
          <w:rFonts w:eastAsia="Times New Roman" w:cs="Times New Roman"/>
          <w:szCs w:val="24"/>
        </w:rPr>
        <w:t>(2) provide the enrollee with the Texas Department of Insurance's (TDI’s) toll-free telephone number and Internet website address.</w:t>
      </w:r>
    </w:p>
    <w:p w:rsidR="00E20346" w:rsidRDefault="00E20346" w:rsidP="00397698">
      <w:pPr>
        <w:spacing w:after="0" w:line="240" w:lineRule="auto"/>
        <w:jc w:val="both"/>
        <w:rPr>
          <w:rFonts w:eastAsia="Times New Roman" w:cs="Times New Roman"/>
          <w:szCs w:val="24"/>
        </w:rPr>
      </w:pPr>
    </w:p>
    <w:p w:rsidR="00E20346" w:rsidRDefault="00E20346" w:rsidP="00397698">
      <w:pPr>
        <w:spacing w:after="0" w:line="240" w:lineRule="auto"/>
        <w:jc w:val="both"/>
        <w:rPr>
          <w:rFonts w:eastAsia="Times New Roman" w:cs="Times New Roman"/>
          <w:szCs w:val="24"/>
        </w:rPr>
      </w:pPr>
      <w:r>
        <w:rPr>
          <w:rFonts w:eastAsia="Times New Roman" w:cs="Times New Roman"/>
          <w:szCs w:val="24"/>
        </w:rPr>
        <w:t xml:space="preserve">SECTION 7. Amends Section 1467.052(c), Insurance Code, to prohibit a person from acting as mediator for a claim settlement dispute if the person has had certain relationships with an insurer offering the preferred provider benefit plan or a physician, health care practitioner, or other health care provider during the three years immediately preceding the request for mediation. </w:t>
      </w:r>
    </w:p>
    <w:p w:rsidR="00E20346" w:rsidRDefault="00E20346" w:rsidP="00397698">
      <w:pPr>
        <w:spacing w:after="0" w:line="240" w:lineRule="auto"/>
        <w:jc w:val="both"/>
        <w:rPr>
          <w:rFonts w:eastAsia="Times New Roman" w:cs="Times New Roman"/>
          <w:szCs w:val="24"/>
        </w:rPr>
      </w:pPr>
    </w:p>
    <w:p w:rsidR="00E20346" w:rsidRDefault="00E20346" w:rsidP="00397698">
      <w:pPr>
        <w:spacing w:after="0" w:line="240" w:lineRule="auto"/>
        <w:jc w:val="both"/>
        <w:rPr>
          <w:rFonts w:eastAsia="Times New Roman" w:cs="Times New Roman"/>
          <w:szCs w:val="24"/>
        </w:rPr>
      </w:pPr>
      <w:r>
        <w:rPr>
          <w:rFonts w:eastAsia="Times New Roman" w:cs="Times New Roman"/>
          <w:szCs w:val="24"/>
        </w:rPr>
        <w:t xml:space="preserve">SECTION 8. Amends Section 1467.053(d), Insurance Code, to make a conforming change. </w:t>
      </w:r>
    </w:p>
    <w:p w:rsidR="00E20346" w:rsidRDefault="00E20346" w:rsidP="00397698">
      <w:pPr>
        <w:spacing w:after="0" w:line="240" w:lineRule="auto"/>
        <w:jc w:val="both"/>
        <w:rPr>
          <w:rFonts w:eastAsia="Times New Roman" w:cs="Times New Roman"/>
          <w:szCs w:val="24"/>
        </w:rPr>
      </w:pPr>
    </w:p>
    <w:p w:rsidR="00E20346" w:rsidRDefault="00E20346" w:rsidP="00397698">
      <w:pPr>
        <w:spacing w:after="0" w:line="240" w:lineRule="auto"/>
        <w:jc w:val="both"/>
        <w:rPr>
          <w:rFonts w:eastAsia="Times New Roman" w:cs="Times New Roman"/>
          <w:szCs w:val="24"/>
        </w:rPr>
      </w:pPr>
      <w:r>
        <w:rPr>
          <w:rFonts w:eastAsia="Times New Roman" w:cs="Times New Roman"/>
          <w:szCs w:val="24"/>
        </w:rPr>
        <w:t>SECTION 9. Amends Sections 1467.054(b), (c), and (e), Insurance Code, as follows:</w:t>
      </w:r>
    </w:p>
    <w:p w:rsidR="00E20346" w:rsidRDefault="00E20346" w:rsidP="00397698">
      <w:pPr>
        <w:spacing w:after="0" w:line="240" w:lineRule="auto"/>
        <w:jc w:val="both"/>
        <w:rPr>
          <w:rFonts w:eastAsia="Times New Roman" w:cs="Times New Roman"/>
          <w:szCs w:val="24"/>
        </w:rPr>
      </w:pPr>
    </w:p>
    <w:p w:rsidR="00E20346" w:rsidRDefault="00E20346" w:rsidP="00397698">
      <w:pPr>
        <w:spacing w:after="0" w:line="240" w:lineRule="auto"/>
        <w:ind w:left="720"/>
        <w:jc w:val="both"/>
        <w:rPr>
          <w:rFonts w:eastAsia="Times New Roman" w:cs="Times New Roman"/>
          <w:szCs w:val="24"/>
        </w:rPr>
      </w:pPr>
      <w:r>
        <w:rPr>
          <w:rFonts w:eastAsia="Times New Roman" w:cs="Times New Roman"/>
          <w:szCs w:val="24"/>
        </w:rPr>
        <w:t>(b) and (c) Makes conforming changes.</w:t>
      </w:r>
    </w:p>
    <w:p w:rsidR="00E20346" w:rsidRDefault="00E20346" w:rsidP="00397698">
      <w:pPr>
        <w:spacing w:after="0" w:line="240" w:lineRule="auto"/>
        <w:ind w:left="720"/>
        <w:jc w:val="both"/>
        <w:rPr>
          <w:rFonts w:eastAsia="Times New Roman" w:cs="Times New Roman"/>
          <w:szCs w:val="24"/>
        </w:rPr>
      </w:pPr>
    </w:p>
    <w:p w:rsidR="00E20346" w:rsidRDefault="00E20346" w:rsidP="00397698">
      <w:pPr>
        <w:spacing w:after="0" w:line="240" w:lineRule="auto"/>
        <w:ind w:left="720"/>
        <w:jc w:val="both"/>
        <w:rPr>
          <w:rFonts w:eastAsia="Times New Roman" w:cs="Times New Roman"/>
          <w:szCs w:val="24"/>
        </w:rPr>
      </w:pPr>
      <w:r>
        <w:rPr>
          <w:rFonts w:eastAsia="Times New Roman" w:cs="Times New Roman"/>
          <w:szCs w:val="24"/>
        </w:rPr>
        <w:t>(e) Makes a conforming change.</w:t>
      </w:r>
    </w:p>
    <w:p w:rsidR="00E20346" w:rsidRDefault="00E20346" w:rsidP="00397698">
      <w:pPr>
        <w:spacing w:after="0" w:line="240" w:lineRule="auto"/>
        <w:ind w:left="720"/>
        <w:jc w:val="both"/>
        <w:rPr>
          <w:rFonts w:eastAsia="Times New Roman" w:cs="Times New Roman"/>
          <w:szCs w:val="24"/>
        </w:rPr>
      </w:pPr>
    </w:p>
    <w:p w:rsidR="00E20346" w:rsidRDefault="00E20346" w:rsidP="00397698">
      <w:pPr>
        <w:spacing w:after="0" w:line="240" w:lineRule="auto"/>
        <w:jc w:val="both"/>
        <w:rPr>
          <w:rFonts w:eastAsia="Times New Roman" w:cs="Times New Roman"/>
          <w:szCs w:val="24"/>
        </w:rPr>
      </w:pPr>
      <w:r>
        <w:rPr>
          <w:rFonts w:eastAsia="Times New Roman" w:cs="Times New Roman"/>
          <w:szCs w:val="24"/>
        </w:rPr>
        <w:t>SECTION 10. Amends Sections 1467.055(d), (h), and (i), Insurance Code, as follows:</w:t>
      </w:r>
    </w:p>
    <w:p w:rsidR="00E20346" w:rsidRDefault="00E20346" w:rsidP="00397698">
      <w:pPr>
        <w:spacing w:after="0" w:line="240" w:lineRule="auto"/>
        <w:jc w:val="both"/>
        <w:rPr>
          <w:rFonts w:eastAsia="Times New Roman" w:cs="Times New Roman"/>
          <w:szCs w:val="24"/>
        </w:rPr>
      </w:pPr>
    </w:p>
    <w:p w:rsidR="00E20346" w:rsidRDefault="00E20346" w:rsidP="00E519EB">
      <w:pPr>
        <w:spacing w:after="0" w:line="240" w:lineRule="auto"/>
        <w:ind w:left="720"/>
        <w:jc w:val="both"/>
        <w:rPr>
          <w:rFonts w:eastAsia="Times New Roman" w:cs="Times New Roman"/>
          <w:szCs w:val="24"/>
        </w:rPr>
      </w:pPr>
      <w:r>
        <w:rPr>
          <w:rFonts w:eastAsia="Times New Roman" w:cs="Times New Roman"/>
          <w:szCs w:val="24"/>
        </w:rPr>
        <w:t xml:space="preserve">(d) Requires a mediator, at the beginning of mediation, to inform the enrollee, if the enrollee is participating in the mediation in person, that if the enrollee is not satisfied with the mediated agreement, the enrollee may file a complaint with TMB or other appropriate regulatory agency against the facility-based provider or emergency care provider for improper billing, rather than with TMB against the facility-based physician for improper billing. </w:t>
      </w:r>
    </w:p>
    <w:p w:rsidR="00E20346" w:rsidRDefault="00E20346" w:rsidP="00E519EB">
      <w:pPr>
        <w:spacing w:after="0" w:line="240" w:lineRule="auto"/>
        <w:ind w:left="720"/>
        <w:jc w:val="both"/>
        <w:rPr>
          <w:rFonts w:eastAsia="Times New Roman" w:cs="Times New Roman"/>
          <w:szCs w:val="24"/>
        </w:rPr>
      </w:pPr>
    </w:p>
    <w:p w:rsidR="00E20346" w:rsidRDefault="00E20346" w:rsidP="00E519EB">
      <w:pPr>
        <w:spacing w:after="0" w:line="240" w:lineRule="auto"/>
        <w:ind w:left="720"/>
        <w:jc w:val="both"/>
        <w:rPr>
          <w:rFonts w:eastAsia="Times New Roman" w:cs="Times New Roman"/>
          <w:szCs w:val="24"/>
        </w:rPr>
      </w:pPr>
      <w:r>
        <w:rPr>
          <w:rFonts w:eastAsia="Times New Roman" w:cs="Times New Roman"/>
          <w:szCs w:val="24"/>
        </w:rPr>
        <w:t xml:space="preserve">(h) Makes a conforming change. </w:t>
      </w:r>
    </w:p>
    <w:p w:rsidR="00E20346" w:rsidRDefault="00E20346" w:rsidP="00E519EB">
      <w:pPr>
        <w:spacing w:after="0" w:line="240" w:lineRule="auto"/>
        <w:ind w:left="720"/>
        <w:jc w:val="both"/>
        <w:rPr>
          <w:rFonts w:eastAsia="Times New Roman" w:cs="Times New Roman"/>
          <w:szCs w:val="24"/>
        </w:rPr>
      </w:pPr>
    </w:p>
    <w:p w:rsidR="00E20346" w:rsidRDefault="00E20346" w:rsidP="00743771">
      <w:pPr>
        <w:tabs>
          <w:tab w:val="left" w:pos="1080"/>
        </w:tabs>
        <w:spacing w:after="0" w:line="240" w:lineRule="auto"/>
        <w:ind w:left="720"/>
        <w:jc w:val="both"/>
        <w:rPr>
          <w:rFonts w:eastAsia="Times New Roman" w:cs="Times New Roman"/>
          <w:szCs w:val="24"/>
        </w:rPr>
      </w:pPr>
      <w:r>
        <w:rPr>
          <w:rFonts w:eastAsia="Times New Roman" w:cs="Times New Roman"/>
          <w:szCs w:val="24"/>
        </w:rPr>
        <w:t xml:space="preserve">(i) Prohibits a health care or medical service or supply provided by a facility-based provider or emergency care provider, rather than a facility-based physician, from being summarily disallowed. Makes a conforming change. </w:t>
      </w:r>
    </w:p>
    <w:p w:rsidR="00E20346" w:rsidRDefault="00E20346" w:rsidP="00397698">
      <w:pPr>
        <w:spacing w:after="0" w:line="240" w:lineRule="auto"/>
        <w:jc w:val="both"/>
        <w:rPr>
          <w:rFonts w:eastAsia="Times New Roman" w:cs="Times New Roman"/>
          <w:szCs w:val="24"/>
        </w:rPr>
      </w:pPr>
    </w:p>
    <w:p w:rsidR="00E20346" w:rsidRDefault="00E20346" w:rsidP="00397698">
      <w:pPr>
        <w:spacing w:after="0" w:line="240" w:lineRule="auto"/>
        <w:jc w:val="both"/>
        <w:rPr>
          <w:rFonts w:eastAsia="Times New Roman" w:cs="Times New Roman"/>
          <w:szCs w:val="24"/>
        </w:rPr>
      </w:pPr>
      <w:r>
        <w:rPr>
          <w:rFonts w:eastAsia="Times New Roman" w:cs="Times New Roman"/>
          <w:szCs w:val="24"/>
        </w:rPr>
        <w:t xml:space="preserve">SECTION 11. Amends Sections 1467.056(a), (b), and (d), Insurance Code, to make conforming changes. </w:t>
      </w:r>
    </w:p>
    <w:p w:rsidR="00E20346" w:rsidRDefault="00E20346" w:rsidP="00397698">
      <w:pPr>
        <w:spacing w:after="0" w:line="240" w:lineRule="auto"/>
        <w:jc w:val="both"/>
        <w:rPr>
          <w:rFonts w:eastAsia="Times New Roman" w:cs="Times New Roman"/>
          <w:szCs w:val="24"/>
        </w:rPr>
      </w:pPr>
    </w:p>
    <w:p w:rsidR="00E20346" w:rsidRDefault="00E20346" w:rsidP="00397698">
      <w:pPr>
        <w:spacing w:after="0" w:line="240" w:lineRule="auto"/>
        <w:jc w:val="both"/>
        <w:rPr>
          <w:rFonts w:eastAsia="Times New Roman" w:cs="Times New Roman"/>
          <w:szCs w:val="24"/>
        </w:rPr>
      </w:pPr>
      <w:r>
        <w:rPr>
          <w:rFonts w:eastAsia="Times New Roman" w:cs="Times New Roman"/>
          <w:szCs w:val="24"/>
        </w:rPr>
        <w:t xml:space="preserve">SECTION 12. Amends Section 1467.057(a), Insurance Code, to include other appropriate regulatory agency in the list of certain entities to which the mediator of an unsuccessful mediation is required to report the outcome. </w:t>
      </w:r>
    </w:p>
    <w:p w:rsidR="00E20346" w:rsidRDefault="00E20346" w:rsidP="00397698">
      <w:pPr>
        <w:spacing w:after="0" w:line="240" w:lineRule="auto"/>
        <w:jc w:val="both"/>
        <w:rPr>
          <w:rFonts w:eastAsia="Times New Roman" w:cs="Times New Roman"/>
          <w:szCs w:val="24"/>
        </w:rPr>
      </w:pPr>
    </w:p>
    <w:p w:rsidR="00E20346" w:rsidRDefault="00E20346" w:rsidP="00397698">
      <w:pPr>
        <w:spacing w:after="0" w:line="240" w:lineRule="auto"/>
        <w:jc w:val="both"/>
        <w:rPr>
          <w:rFonts w:eastAsia="Times New Roman" w:cs="Times New Roman"/>
          <w:szCs w:val="24"/>
        </w:rPr>
      </w:pPr>
      <w:r>
        <w:rPr>
          <w:rFonts w:eastAsia="Times New Roman" w:cs="Times New Roman"/>
          <w:szCs w:val="24"/>
        </w:rPr>
        <w:t xml:space="preserve">SECTION 13. Amends Section 1467.058, Insurance Code, to make a conforming change. </w:t>
      </w:r>
    </w:p>
    <w:p w:rsidR="00E20346" w:rsidRDefault="00E20346" w:rsidP="00397698">
      <w:pPr>
        <w:spacing w:after="0" w:line="240" w:lineRule="auto"/>
        <w:jc w:val="both"/>
        <w:rPr>
          <w:rFonts w:eastAsia="Times New Roman" w:cs="Times New Roman"/>
          <w:szCs w:val="24"/>
        </w:rPr>
      </w:pPr>
    </w:p>
    <w:p w:rsidR="00E20346" w:rsidRDefault="00E20346" w:rsidP="00397698">
      <w:pPr>
        <w:spacing w:after="0" w:line="240" w:lineRule="auto"/>
        <w:jc w:val="both"/>
        <w:rPr>
          <w:rFonts w:eastAsia="Times New Roman" w:cs="Times New Roman"/>
          <w:szCs w:val="24"/>
        </w:rPr>
      </w:pPr>
      <w:r>
        <w:rPr>
          <w:rFonts w:eastAsia="Times New Roman" w:cs="Times New Roman"/>
          <w:szCs w:val="24"/>
        </w:rPr>
        <w:t>SECTION 14. Amends Section 1467.059, Insurance Code, to make a conforming change.</w:t>
      </w:r>
    </w:p>
    <w:p w:rsidR="00E20346" w:rsidRDefault="00E20346" w:rsidP="00397698">
      <w:pPr>
        <w:spacing w:after="0" w:line="240" w:lineRule="auto"/>
        <w:jc w:val="both"/>
        <w:rPr>
          <w:rFonts w:eastAsia="Times New Roman" w:cs="Times New Roman"/>
          <w:szCs w:val="24"/>
        </w:rPr>
      </w:pPr>
    </w:p>
    <w:p w:rsidR="00E20346" w:rsidRDefault="00E20346" w:rsidP="00397698">
      <w:pPr>
        <w:spacing w:after="0" w:line="240" w:lineRule="auto"/>
        <w:jc w:val="both"/>
        <w:rPr>
          <w:rFonts w:eastAsia="Times New Roman" w:cs="Times New Roman"/>
          <w:szCs w:val="24"/>
        </w:rPr>
      </w:pPr>
      <w:r>
        <w:rPr>
          <w:rFonts w:eastAsia="Times New Roman" w:cs="Times New Roman"/>
          <w:szCs w:val="24"/>
        </w:rPr>
        <w:t>SECTION 15. Amends Section 1467.060, Insurance Code, to make a conforming change.</w:t>
      </w:r>
    </w:p>
    <w:p w:rsidR="00E20346" w:rsidRDefault="00E20346" w:rsidP="00397698">
      <w:pPr>
        <w:spacing w:after="0" w:line="240" w:lineRule="auto"/>
        <w:jc w:val="both"/>
        <w:rPr>
          <w:rFonts w:eastAsia="Times New Roman" w:cs="Times New Roman"/>
          <w:szCs w:val="24"/>
        </w:rPr>
      </w:pPr>
    </w:p>
    <w:p w:rsidR="00E20346" w:rsidRDefault="00E20346" w:rsidP="00397698">
      <w:pPr>
        <w:spacing w:after="0" w:line="240" w:lineRule="auto"/>
        <w:jc w:val="both"/>
        <w:rPr>
          <w:rFonts w:eastAsia="Times New Roman" w:cs="Times New Roman"/>
          <w:szCs w:val="24"/>
        </w:rPr>
      </w:pPr>
      <w:r>
        <w:rPr>
          <w:rFonts w:eastAsia="Times New Roman" w:cs="Times New Roman"/>
          <w:szCs w:val="24"/>
        </w:rPr>
        <w:t>SECTION 16. Amends Section 1467.151, Insurance Code, as follows:</w:t>
      </w:r>
    </w:p>
    <w:p w:rsidR="00E20346" w:rsidRDefault="00E20346" w:rsidP="00397698">
      <w:pPr>
        <w:spacing w:after="0" w:line="240" w:lineRule="auto"/>
        <w:jc w:val="both"/>
        <w:rPr>
          <w:rFonts w:eastAsia="Times New Roman" w:cs="Times New Roman"/>
          <w:szCs w:val="24"/>
        </w:rPr>
      </w:pPr>
    </w:p>
    <w:p w:rsidR="00E20346" w:rsidRDefault="00E20346" w:rsidP="00381057">
      <w:pPr>
        <w:spacing w:after="0" w:line="240" w:lineRule="auto"/>
        <w:ind w:left="720"/>
        <w:jc w:val="both"/>
        <w:rPr>
          <w:rFonts w:eastAsia="Times New Roman" w:cs="Times New Roman"/>
          <w:szCs w:val="24"/>
        </w:rPr>
      </w:pPr>
      <w:r>
        <w:rPr>
          <w:rFonts w:eastAsia="Times New Roman" w:cs="Times New Roman"/>
          <w:szCs w:val="24"/>
        </w:rPr>
        <w:t>Sec. 1467.151. CONSUMER PROTECTION; RULES. (a) Requires the commissioner and TMB or other regulatory agency, as appropriate, to adopt certain rules. Sets forth certain requirements for the adopted rules, including that they distinguish among complaints for out-of-network coverage or payment and give priority to investigating allegations of delayed health care or medical care.</w:t>
      </w:r>
    </w:p>
    <w:p w:rsidR="00E20346" w:rsidRDefault="00E20346" w:rsidP="00381057">
      <w:pPr>
        <w:spacing w:after="0" w:line="240" w:lineRule="auto"/>
        <w:ind w:left="720"/>
        <w:jc w:val="both"/>
        <w:rPr>
          <w:rFonts w:eastAsia="Times New Roman" w:cs="Times New Roman"/>
          <w:szCs w:val="24"/>
        </w:rPr>
      </w:pPr>
    </w:p>
    <w:p w:rsidR="00E20346" w:rsidRDefault="00E20346" w:rsidP="00381057">
      <w:pPr>
        <w:spacing w:after="0" w:line="240" w:lineRule="auto"/>
        <w:ind w:left="1440"/>
        <w:jc w:val="both"/>
        <w:rPr>
          <w:rFonts w:eastAsia="Times New Roman" w:cs="Times New Roman"/>
          <w:szCs w:val="24"/>
        </w:rPr>
      </w:pPr>
      <w:r>
        <w:rPr>
          <w:rFonts w:eastAsia="Times New Roman" w:cs="Times New Roman"/>
          <w:szCs w:val="24"/>
        </w:rPr>
        <w:t>(b) Makes conforming and nonsubstantive changes.</w:t>
      </w:r>
    </w:p>
    <w:p w:rsidR="00E20346" w:rsidRDefault="00E20346" w:rsidP="00381057">
      <w:pPr>
        <w:spacing w:after="0" w:line="240" w:lineRule="auto"/>
        <w:ind w:left="1440"/>
        <w:jc w:val="both"/>
        <w:rPr>
          <w:rFonts w:eastAsia="Times New Roman" w:cs="Times New Roman"/>
          <w:szCs w:val="24"/>
        </w:rPr>
      </w:pPr>
    </w:p>
    <w:p w:rsidR="00E20346" w:rsidRDefault="00E20346" w:rsidP="00381057">
      <w:pPr>
        <w:spacing w:after="0" w:line="240" w:lineRule="auto"/>
        <w:ind w:left="1440"/>
        <w:jc w:val="both"/>
        <w:rPr>
          <w:rFonts w:eastAsia="Times New Roman" w:cs="Times New Roman"/>
          <w:szCs w:val="24"/>
        </w:rPr>
      </w:pPr>
      <w:r>
        <w:rPr>
          <w:rFonts w:eastAsia="Times New Roman" w:cs="Times New Roman"/>
          <w:szCs w:val="24"/>
        </w:rPr>
        <w:t>(c) Makes conforming changes.</w:t>
      </w:r>
    </w:p>
    <w:p w:rsidR="00E20346" w:rsidRDefault="00E20346" w:rsidP="00381057">
      <w:pPr>
        <w:spacing w:after="0" w:line="240" w:lineRule="auto"/>
        <w:ind w:left="1440"/>
        <w:jc w:val="both"/>
        <w:rPr>
          <w:rFonts w:eastAsia="Times New Roman" w:cs="Times New Roman"/>
          <w:szCs w:val="24"/>
        </w:rPr>
      </w:pPr>
    </w:p>
    <w:p w:rsidR="00E20346" w:rsidRDefault="00E20346" w:rsidP="00381057">
      <w:pPr>
        <w:spacing w:after="0" w:line="240" w:lineRule="auto"/>
        <w:ind w:left="1440"/>
        <w:jc w:val="both"/>
        <w:rPr>
          <w:rFonts w:eastAsia="Times New Roman" w:cs="Times New Roman"/>
          <w:szCs w:val="24"/>
        </w:rPr>
      </w:pPr>
      <w:r>
        <w:rPr>
          <w:rFonts w:eastAsia="Times New Roman" w:cs="Times New Roman"/>
          <w:szCs w:val="24"/>
        </w:rPr>
        <w:t xml:space="preserve">(d) Provides that a facility-based provider or emergency care provider who fails to provide a disclosure under Section 1467.051 or 1467.0511 is not subject to discipline by TMB or other appropriate regulatory agency for that failure and a cause of action is not created by a failure to disclose as required by Section 1467.051 or 1467.0511. Makes a conforming change. </w:t>
      </w:r>
    </w:p>
    <w:p w:rsidR="00E20346" w:rsidRDefault="00E20346" w:rsidP="00381057">
      <w:pPr>
        <w:spacing w:after="0" w:line="240" w:lineRule="auto"/>
        <w:ind w:left="1440"/>
        <w:jc w:val="both"/>
        <w:rPr>
          <w:rFonts w:eastAsia="Times New Roman" w:cs="Times New Roman"/>
          <w:szCs w:val="24"/>
        </w:rPr>
      </w:pPr>
    </w:p>
    <w:p w:rsidR="00E20346" w:rsidRDefault="00E20346" w:rsidP="001C19EB">
      <w:pPr>
        <w:spacing w:after="0" w:line="240" w:lineRule="auto"/>
        <w:jc w:val="both"/>
        <w:rPr>
          <w:rFonts w:eastAsia="Times New Roman" w:cs="Times New Roman"/>
          <w:szCs w:val="24"/>
        </w:rPr>
      </w:pPr>
      <w:r>
        <w:rPr>
          <w:rFonts w:eastAsia="Times New Roman" w:cs="Times New Roman"/>
          <w:szCs w:val="24"/>
        </w:rPr>
        <w:t xml:space="preserve">SECTION 17. Repealer: Section 1467.101(c) (relating to requiring a mediator to report bad faith mediation to the commissioner or TMB following the mediation’s conclusion), Insurance Code. </w:t>
      </w:r>
    </w:p>
    <w:p w:rsidR="00E20346" w:rsidRDefault="00E20346" w:rsidP="00397698">
      <w:pPr>
        <w:spacing w:after="0" w:line="240" w:lineRule="auto"/>
        <w:jc w:val="both"/>
        <w:rPr>
          <w:rFonts w:eastAsia="Times New Roman" w:cs="Times New Roman"/>
          <w:szCs w:val="24"/>
        </w:rPr>
      </w:pPr>
    </w:p>
    <w:p w:rsidR="00E20346" w:rsidRDefault="00E20346" w:rsidP="00397698">
      <w:pPr>
        <w:spacing w:after="0" w:line="240" w:lineRule="auto"/>
        <w:jc w:val="both"/>
        <w:rPr>
          <w:rFonts w:eastAsia="Times New Roman" w:cs="Times New Roman"/>
          <w:szCs w:val="24"/>
        </w:rPr>
      </w:pPr>
      <w:r>
        <w:rPr>
          <w:rFonts w:eastAsia="Times New Roman" w:cs="Times New Roman"/>
          <w:szCs w:val="24"/>
        </w:rPr>
        <w:t xml:space="preserve">SECTION 18. Makes application of this Act prospective to January 1, 2018. </w:t>
      </w:r>
    </w:p>
    <w:p w:rsidR="00E20346" w:rsidRDefault="00E20346" w:rsidP="00397698">
      <w:pPr>
        <w:spacing w:after="0" w:line="240" w:lineRule="auto"/>
        <w:jc w:val="both"/>
        <w:rPr>
          <w:rFonts w:eastAsia="Times New Roman" w:cs="Times New Roman"/>
          <w:szCs w:val="24"/>
        </w:rPr>
      </w:pPr>
    </w:p>
    <w:p w:rsidR="00E20346" w:rsidRPr="005C2A78" w:rsidRDefault="00E20346" w:rsidP="00397698">
      <w:pPr>
        <w:spacing w:after="0" w:line="240" w:lineRule="auto"/>
        <w:jc w:val="both"/>
        <w:rPr>
          <w:rFonts w:eastAsia="Times New Roman" w:cs="Times New Roman"/>
          <w:szCs w:val="24"/>
        </w:rPr>
      </w:pPr>
      <w:r>
        <w:rPr>
          <w:rFonts w:eastAsia="Times New Roman" w:cs="Times New Roman"/>
          <w:szCs w:val="24"/>
        </w:rPr>
        <w:t xml:space="preserve">SECTION 19. Effective date: September 1, 2017. </w:t>
      </w:r>
    </w:p>
    <w:p w:rsidR="00E20346" w:rsidRPr="00D90136" w:rsidRDefault="00E20346" w:rsidP="00D90136"/>
    <w:p w:rsidR="00E20346" w:rsidRPr="006549EC" w:rsidRDefault="00E20346" w:rsidP="006549EC"/>
    <w:p w:rsidR="00E20346" w:rsidRPr="00FB44E6" w:rsidRDefault="00E20346" w:rsidP="00FB44E6"/>
    <w:p w:rsidR="00E20346" w:rsidRPr="0059396C" w:rsidRDefault="00E20346" w:rsidP="0059396C"/>
    <w:sectPr w:rsidR="00E20346" w:rsidRPr="0059396C"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D92" w:rsidRDefault="002A7D92" w:rsidP="000F1DF9">
      <w:pPr>
        <w:spacing w:after="0" w:line="240" w:lineRule="auto"/>
      </w:pPr>
      <w:r>
        <w:separator/>
      </w:r>
    </w:p>
  </w:endnote>
  <w:endnote w:type="continuationSeparator" w:id="0">
    <w:p w:rsidR="002A7D92" w:rsidRDefault="002A7D9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A7D9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20346">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20346">
                <w:rPr>
                  <w:sz w:val="20"/>
                  <w:szCs w:val="20"/>
                </w:rPr>
                <w:t>S.B. 507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2034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A7D9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2034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20346">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D92" w:rsidRDefault="002A7D92" w:rsidP="000F1DF9">
      <w:pPr>
        <w:spacing w:after="0" w:line="240" w:lineRule="auto"/>
      </w:pPr>
      <w:r>
        <w:separator/>
      </w:r>
    </w:p>
  </w:footnote>
  <w:footnote w:type="continuationSeparator" w:id="0">
    <w:p w:rsidR="002A7D92" w:rsidRDefault="002A7D92"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A7D92"/>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0346"/>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2034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2034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27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73B89" w:rsidP="00973B8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1F96A9741144E839174C1AEC42947EF"/>
        <w:category>
          <w:name w:val="General"/>
          <w:gallery w:val="placeholder"/>
        </w:category>
        <w:types>
          <w:type w:val="bbPlcHdr"/>
        </w:types>
        <w:behaviors>
          <w:behavior w:val="content"/>
        </w:behaviors>
        <w:guid w:val="{0FDE2C66-807A-40A2-8B35-ED2D99054DD0}"/>
      </w:docPartPr>
      <w:docPartBody>
        <w:p w:rsidR="00000000" w:rsidRDefault="001C197F"/>
      </w:docPartBody>
    </w:docPart>
    <w:docPart>
      <w:docPartPr>
        <w:name w:val="D7CE13C4AC074ADD80AF99BB10D54F2E"/>
        <w:category>
          <w:name w:val="General"/>
          <w:gallery w:val="placeholder"/>
        </w:category>
        <w:types>
          <w:type w:val="bbPlcHdr"/>
        </w:types>
        <w:behaviors>
          <w:behavior w:val="content"/>
        </w:behaviors>
        <w:guid w:val="{D45AC848-6CE8-42EC-A7FE-FC3316F183BE}"/>
      </w:docPartPr>
      <w:docPartBody>
        <w:p w:rsidR="00000000" w:rsidRDefault="001C197F"/>
      </w:docPartBody>
    </w:docPart>
    <w:docPart>
      <w:docPartPr>
        <w:name w:val="C5177DB04AE34353881E52D5CC8ADC0D"/>
        <w:category>
          <w:name w:val="General"/>
          <w:gallery w:val="placeholder"/>
        </w:category>
        <w:types>
          <w:type w:val="bbPlcHdr"/>
        </w:types>
        <w:behaviors>
          <w:behavior w:val="content"/>
        </w:behaviors>
        <w:guid w:val="{E1CF7C1E-DC7E-465B-ACB4-C2FD4DDC931D}"/>
      </w:docPartPr>
      <w:docPartBody>
        <w:p w:rsidR="00000000" w:rsidRDefault="001C197F"/>
      </w:docPartBody>
    </w:docPart>
    <w:docPart>
      <w:docPartPr>
        <w:name w:val="46C86F73F69442BCBAF577D7C7ED4702"/>
        <w:category>
          <w:name w:val="General"/>
          <w:gallery w:val="placeholder"/>
        </w:category>
        <w:types>
          <w:type w:val="bbPlcHdr"/>
        </w:types>
        <w:behaviors>
          <w:behavior w:val="content"/>
        </w:behaviors>
        <w:guid w:val="{C507927D-B8B5-4891-98C0-BAC18B4B2326}"/>
      </w:docPartPr>
      <w:docPartBody>
        <w:p w:rsidR="00000000" w:rsidRDefault="001C197F"/>
      </w:docPartBody>
    </w:docPart>
    <w:docPart>
      <w:docPartPr>
        <w:name w:val="FD5E73A028EE4958A47BE1622624BA12"/>
        <w:category>
          <w:name w:val="General"/>
          <w:gallery w:val="placeholder"/>
        </w:category>
        <w:types>
          <w:type w:val="bbPlcHdr"/>
        </w:types>
        <w:behaviors>
          <w:behavior w:val="content"/>
        </w:behaviors>
        <w:guid w:val="{0C3D9E10-3CB6-4D1D-AAA8-CB163901C534}"/>
      </w:docPartPr>
      <w:docPartBody>
        <w:p w:rsidR="00000000" w:rsidRDefault="001C197F"/>
      </w:docPartBody>
    </w:docPart>
    <w:docPart>
      <w:docPartPr>
        <w:name w:val="1BC136E06A064AC8BB648750F1AF5026"/>
        <w:category>
          <w:name w:val="General"/>
          <w:gallery w:val="placeholder"/>
        </w:category>
        <w:types>
          <w:type w:val="bbPlcHdr"/>
        </w:types>
        <w:behaviors>
          <w:behavior w:val="content"/>
        </w:behaviors>
        <w:guid w:val="{042941B4-23E7-4A7C-97EA-A1C28CCB9D02}"/>
      </w:docPartPr>
      <w:docPartBody>
        <w:p w:rsidR="00000000" w:rsidRDefault="001C197F"/>
      </w:docPartBody>
    </w:docPart>
    <w:docPart>
      <w:docPartPr>
        <w:name w:val="05D34D8DAF5846648EB80EB3FBCAADFB"/>
        <w:category>
          <w:name w:val="General"/>
          <w:gallery w:val="placeholder"/>
        </w:category>
        <w:types>
          <w:type w:val="bbPlcHdr"/>
        </w:types>
        <w:behaviors>
          <w:behavior w:val="content"/>
        </w:behaviors>
        <w:guid w:val="{58EF66AF-CF59-4F9D-B7C1-8E3588EBF701}"/>
      </w:docPartPr>
      <w:docPartBody>
        <w:p w:rsidR="00000000" w:rsidRDefault="001C197F"/>
      </w:docPartBody>
    </w:docPart>
    <w:docPart>
      <w:docPartPr>
        <w:name w:val="71EE7EA594C94BD18AE0137DE2C2ADC0"/>
        <w:category>
          <w:name w:val="General"/>
          <w:gallery w:val="placeholder"/>
        </w:category>
        <w:types>
          <w:type w:val="bbPlcHdr"/>
        </w:types>
        <w:behaviors>
          <w:behavior w:val="content"/>
        </w:behaviors>
        <w:guid w:val="{4EEB37DD-6930-4334-91EC-87E3F7D9D14C}"/>
      </w:docPartPr>
      <w:docPartBody>
        <w:p w:rsidR="00000000" w:rsidRDefault="001C197F"/>
      </w:docPartBody>
    </w:docPart>
    <w:docPart>
      <w:docPartPr>
        <w:name w:val="FA036ABBF07F428486039D64285C802B"/>
        <w:category>
          <w:name w:val="General"/>
          <w:gallery w:val="placeholder"/>
        </w:category>
        <w:types>
          <w:type w:val="bbPlcHdr"/>
        </w:types>
        <w:behaviors>
          <w:behavior w:val="content"/>
        </w:behaviors>
        <w:guid w:val="{740E85A2-F009-4AB5-AB2C-EFE18F9EB07E}"/>
      </w:docPartPr>
      <w:docPartBody>
        <w:p w:rsidR="00000000" w:rsidRDefault="00973B89" w:rsidP="00973B89">
          <w:pPr>
            <w:pStyle w:val="FA036ABBF07F428486039D64285C802B"/>
          </w:pPr>
          <w:r w:rsidRPr="00A30DD1">
            <w:rPr>
              <w:rStyle w:val="PlaceholderText"/>
            </w:rPr>
            <w:t>Click here to enter a date.</w:t>
          </w:r>
        </w:p>
      </w:docPartBody>
    </w:docPart>
    <w:docPart>
      <w:docPartPr>
        <w:name w:val="847CFB7D90D549E09F80FF815F7FA7B6"/>
        <w:category>
          <w:name w:val="General"/>
          <w:gallery w:val="placeholder"/>
        </w:category>
        <w:types>
          <w:type w:val="bbPlcHdr"/>
        </w:types>
        <w:behaviors>
          <w:behavior w:val="content"/>
        </w:behaviors>
        <w:guid w:val="{FFEA1A67-302B-4461-AC00-91C6EE303787}"/>
      </w:docPartPr>
      <w:docPartBody>
        <w:p w:rsidR="00000000" w:rsidRDefault="001C197F"/>
      </w:docPartBody>
    </w:docPart>
    <w:docPart>
      <w:docPartPr>
        <w:name w:val="CB14E9F1B6FF4EDD83CE7247BA1ADAD3"/>
        <w:category>
          <w:name w:val="General"/>
          <w:gallery w:val="placeholder"/>
        </w:category>
        <w:types>
          <w:type w:val="bbPlcHdr"/>
        </w:types>
        <w:behaviors>
          <w:behavior w:val="content"/>
        </w:behaviors>
        <w:guid w:val="{50E0B384-80B1-4202-8291-666275BC8AF5}"/>
      </w:docPartPr>
      <w:docPartBody>
        <w:p w:rsidR="00000000" w:rsidRDefault="001C197F"/>
      </w:docPartBody>
    </w:docPart>
    <w:docPart>
      <w:docPartPr>
        <w:name w:val="0EE1ABE45A2D40E9B11F7616D8CE1B09"/>
        <w:category>
          <w:name w:val="General"/>
          <w:gallery w:val="placeholder"/>
        </w:category>
        <w:types>
          <w:type w:val="bbPlcHdr"/>
        </w:types>
        <w:behaviors>
          <w:behavior w:val="content"/>
        </w:behaviors>
        <w:guid w:val="{9B9C895D-A789-4D20-851B-FDF78F23DCC5}"/>
      </w:docPartPr>
      <w:docPartBody>
        <w:p w:rsidR="00000000" w:rsidRDefault="00973B89" w:rsidP="00973B89">
          <w:pPr>
            <w:pStyle w:val="0EE1ABE45A2D40E9B11F7616D8CE1B09"/>
          </w:pPr>
          <w:r>
            <w:rPr>
              <w:rFonts w:eastAsia="Times New Roman" w:cs="Times New Roman"/>
              <w:bCs/>
              <w:szCs w:val="24"/>
            </w:rPr>
            <w:t xml:space="preserve"> </w:t>
          </w:r>
        </w:p>
      </w:docPartBody>
    </w:docPart>
    <w:docPart>
      <w:docPartPr>
        <w:name w:val="F8197F306C8D4C3AA07E8FFCF469500E"/>
        <w:category>
          <w:name w:val="General"/>
          <w:gallery w:val="placeholder"/>
        </w:category>
        <w:types>
          <w:type w:val="bbPlcHdr"/>
        </w:types>
        <w:behaviors>
          <w:behavior w:val="content"/>
        </w:behaviors>
        <w:guid w:val="{7CDCEC77-10B9-49F8-BDC5-C77A0821428C}"/>
      </w:docPartPr>
      <w:docPartBody>
        <w:p w:rsidR="00000000" w:rsidRDefault="001C197F"/>
      </w:docPartBody>
    </w:docPart>
    <w:docPart>
      <w:docPartPr>
        <w:name w:val="56357BC8BBD94FC68A10DC928912E566"/>
        <w:category>
          <w:name w:val="General"/>
          <w:gallery w:val="placeholder"/>
        </w:category>
        <w:types>
          <w:type w:val="bbPlcHdr"/>
        </w:types>
        <w:behaviors>
          <w:behavior w:val="content"/>
        </w:behaviors>
        <w:guid w:val="{F53A2D38-6260-4142-B28F-247DF17864B3}"/>
      </w:docPartPr>
      <w:docPartBody>
        <w:p w:rsidR="00000000" w:rsidRDefault="001C19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197F"/>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73B89"/>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B8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73B89"/>
    <w:rPr>
      <w:rFonts w:ascii="Times New Roman" w:hAnsi="Times New Roman"/>
      <w:sz w:val="24"/>
    </w:rPr>
  </w:style>
  <w:style w:type="paragraph" w:customStyle="1" w:styleId="487D89B4F8B34DB4967D41FE18F7F88D7">
    <w:name w:val="487D89B4F8B34DB4967D41FE18F7F88D7"/>
    <w:rsid w:val="00973B89"/>
    <w:rPr>
      <w:rFonts w:ascii="Times New Roman" w:hAnsi="Times New Roman"/>
      <w:sz w:val="24"/>
    </w:rPr>
  </w:style>
  <w:style w:type="paragraph" w:customStyle="1" w:styleId="AE2570ED5D764CD7AF9686706F550F4620">
    <w:name w:val="AE2570ED5D764CD7AF9686706F550F4620"/>
    <w:rsid w:val="00973B89"/>
    <w:pPr>
      <w:tabs>
        <w:tab w:val="center" w:pos="4680"/>
        <w:tab w:val="right" w:pos="9360"/>
      </w:tabs>
      <w:spacing w:after="0" w:line="240" w:lineRule="auto"/>
    </w:pPr>
    <w:rPr>
      <w:rFonts w:ascii="Times New Roman" w:hAnsi="Times New Roman"/>
      <w:sz w:val="24"/>
    </w:rPr>
  </w:style>
  <w:style w:type="paragraph" w:customStyle="1" w:styleId="FA036ABBF07F428486039D64285C802B">
    <w:name w:val="FA036ABBF07F428486039D64285C802B"/>
    <w:rsid w:val="00973B89"/>
  </w:style>
  <w:style w:type="paragraph" w:customStyle="1" w:styleId="0EE1ABE45A2D40E9B11F7616D8CE1B09">
    <w:name w:val="0EE1ABE45A2D40E9B11F7616D8CE1B09"/>
    <w:rsid w:val="00973B8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B8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73B89"/>
    <w:rPr>
      <w:rFonts w:ascii="Times New Roman" w:hAnsi="Times New Roman"/>
      <w:sz w:val="24"/>
    </w:rPr>
  </w:style>
  <w:style w:type="paragraph" w:customStyle="1" w:styleId="487D89B4F8B34DB4967D41FE18F7F88D7">
    <w:name w:val="487D89B4F8B34DB4967D41FE18F7F88D7"/>
    <w:rsid w:val="00973B89"/>
    <w:rPr>
      <w:rFonts w:ascii="Times New Roman" w:hAnsi="Times New Roman"/>
      <w:sz w:val="24"/>
    </w:rPr>
  </w:style>
  <w:style w:type="paragraph" w:customStyle="1" w:styleId="AE2570ED5D764CD7AF9686706F550F4620">
    <w:name w:val="AE2570ED5D764CD7AF9686706F550F4620"/>
    <w:rsid w:val="00973B89"/>
    <w:pPr>
      <w:tabs>
        <w:tab w:val="center" w:pos="4680"/>
        <w:tab w:val="right" w:pos="9360"/>
      </w:tabs>
      <w:spacing w:after="0" w:line="240" w:lineRule="auto"/>
    </w:pPr>
    <w:rPr>
      <w:rFonts w:ascii="Times New Roman" w:hAnsi="Times New Roman"/>
      <w:sz w:val="24"/>
    </w:rPr>
  </w:style>
  <w:style w:type="paragraph" w:customStyle="1" w:styleId="FA036ABBF07F428486039D64285C802B">
    <w:name w:val="FA036ABBF07F428486039D64285C802B"/>
    <w:rsid w:val="00973B89"/>
  </w:style>
  <w:style w:type="paragraph" w:customStyle="1" w:styleId="0EE1ABE45A2D40E9B11F7616D8CE1B09">
    <w:name w:val="0EE1ABE45A2D40E9B11F7616D8CE1B09"/>
    <w:rsid w:val="00973B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A081D02-A3D6-48FF-BB07-60A1EA73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1283</Words>
  <Characters>7319</Characters>
  <Application>Microsoft Office Word</Application>
  <DocSecurity>0</DocSecurity>
  <Lines>60</Lines>
  <Paragraphs>17</Paragraphs>
  <ScaleCrop>false</ScaleCrop>
  <Company>Texas Legislative Council</Company>
  <LinksUpToDate>false</LinksUpToDate>
  <CharactersWithSpaces>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2017-06-26T20:44:00Z</cp:lastPrinted>
  <dcterms:created xsi:type="dcterms:W3CDTF">2015-05-29T14:24:00Z</dcterms:created>
  <dcterms:modified xsi:type="dcterms:W3CDTF">2017-06-26T20:44:00Z</dcterms:modified>
</cp:coreProperties>
</file>

<file path=docProps/custom.xml><?xml version="1.0" encoding="utf-8"?>
<op:Properties xmlns:vt="http://schemas.openxmlformats.org/officeDocument/2006/docPropsVTypes" xmlns:op="http://schemas.openxmlformats.org/officeDocument/2006/custom-properties"/>
</file>