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97EB8" w:rsidTr="00345119">
        <w:tc>
          <w:tcPr>
            <w:tcW w:w="9576" w:type="dxa"/>
            <w:noWrap/>
          </w:tcPr>
          <w:p w:rsidR="008423E4" w:rsidRPr="0022177D" w:rsidRDefault="00FB61CD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B61CD" w:rsidP="008423E4">
      <w:pPr>
        <w:jc w:val="center"/>
      </w:pPr>
    </w:p>
    <w:p w:rsidR="008423E4" w:rsidRPr="00B31F0E" w:rsidRDefault="00FB61CD" w:rsidP="008423E4"/>
    <w:p w:rsidR="008423E4" w:rsidRPr="00742794" w:rsidRDefault="00FB61CD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97EB8" w:rsidTr="00345119">
        <w:tc>
          <w:tcPr>
            <w:tcW w:w="9576" w:type="dxa"/>
          </w:tcPr>
          <w:p w:rsidR="008423E4" w:rsidRPr="00861995" w:rsidRDefault="00FB61CD" w:rsidP="00345119">
            <w:pPr>
              <w:jc w:val="right"/>
            </w:pPr>
            <w:r>
              <w:t>S.B. 302</w:t>
            </w:r>
          </w:p>
        </w:tc>
      </w:tr>
      <w:tr w:rsidR="00D97EB8" w:rsidTr="00345119">
        <w:tc>
          <w:tcPr>
            <w:tcW w:w="9576" w:type="dxa"/>
          </w:tcPr>
          <w:p w:rsidR="008423E4" w:rsidRPr="00861995" w:rsidRDefault="00FB61CD" w:rsidP="00774AA5">
            <w:pPr>
              <w:jc w:val="right"/>
            </w:pPr>
            <w:r>
              <w:t xml:space="preserve">By: </w:t>
            </w:r>
            <w:r>
              <w:t>Watson</w:t>
            </w:r>
          </w:p>
        </w:tc>
      </w:tr>
      <w:tr w:rsidR="00D97EB8" w:rsidTr="00345119">
        <w:tc>
          <w:tcPr>
            <w:tcW w:w="9576" w:type="dxa"/>
          </w:tcPr>
          <w:p w:rsidR="008423E4" w:rsidRPr="00861995" w:rsidRDefault="00FB61CD" w:rsidP="00345119">
            <w:pPr>
              <w:jc w:val="right"/>
            </w:pPr>
            <w:r>
              <w:t>Judiciary &amp; Civil Jurisprudence</w:t>
            </w:r>
          </w:p>
        </w:tc>
      </w:tr>
      <w:tr w:rsidR="00D97EB8" w:rsidTr="00345119">
        <w:tc>
          <w:tcPr>
            <w:tcW w:w="9576" w:type="dxa"/>
          </w:tcPr>
          <w:p w:rsidR="008423E4" w:rsidRDefault="00FB61CD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FB61CD" w:rsidP="008423E4">
      <w:pPr>
        <w:tabs>
          <w:tab w:val="right" w:pos="9360"/>
        </w:tabs>
      </w:pPr>
    </w:p>
    <w:p w:rsidR="008423E4" w:rsidRDefault="00FB61CD" w:rsidP="008423E4"/>
    <w:p w:rsidR="008423E4" w:rsidRDefault="00FB61CD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97EB8" w:rsidTr="00345119">
        <w:tc>
          <w:tcPr>
            <w:tcW w:w="9576" w:type="dxa"/>
          </w:tcPr>
          <w:p w:rsidR="008423E4" w:rsidRPr="00A8133F" w:rsidRDefault="00FB61CD" w:rsidP="00F7049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B61CD" w:rsidP="00F70491"/>
          <w:p w:rsidR="008423E4" w:rsidRDefault="00FB61CD" w:rsidP="00F7049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</w:t>
            </w:r>
            <w:r w:rsidRPr="00A075D1">
              <w:t xml:space="preserve"> State Bar </w:t>
            </w:r>
            <w:r>
              <w:t xml:space="preserve">of Texas, which </w:t>
            </w:r>
            <w:r w:rsidRPr="00A075D1">
              <w:t>oversees the legal profession</w:t>
            </w:r>
            <w:r>
              <w:t xml:space="preserve"> in the state</w:t>
            </w:r>
            <w:r w:rsidRPr="00A075D1">
              <w:t xml:space="preserve">, is subject to the Texas Sunset Act and will be </w:t>
            </w:r>
            <w:r w:rsidRPr="00A075D1">
              <w:t>abolished on September 1, 2017</w:t>
            </w:r>
            <w:r>
              <w:t>,</w:t>
            </w:r>
            <w:r w:rsidRPr="00A075D1">
              <w:t xml:space="preserve"> unles</w:t>
            </w:r>
            <w:r>
              <w:t xml:space="preserve">s continued by the legislature. </w:t>
            </w:r>
            <w:r>
              <w:t>S</w:t>
            </w:r>
            <w:r>
              <w:t>.B. </w:t>
            </w:r>
            <w:r>
              <w:t>3</w:t>
            </w:r>
            <w:r w:rsidRPr="00A075D1">
              <w:t xml:space="preserve">02 seeks to continue the </w:t>
            </w:r>
            <w:r>
              <w:t>s</w:t>
            </w:r>
            <w:r w:rsidRPr="00A075D1">
              <w:t xml:space="preserve">tate </w:t>
            </w:r>
            <w:r>
              <w:t>b</w:t>
            </w:r>
            <w:r w:rsidRPr="00A075D1">
              <w:t>ar with several statutory modifications.</w:t>
            </w:r>
          </w:p>
          <w:p w:rsidR="008423E4" w:rsidRPr="00E26B13" w:rsidRDefault="00FB61CD" w:rsidP="00F70491">
            <w:pPr>
              <w:rPr>
                <w:b/>
              </w:rPr>
            </w:pPr>
          </w:p>
        </w:tc>
      </w:tr>
      <w:tr w:rsidR="00D97EB8" w:rsidTr="00345119">
        <w:tc>
          <w:tcPr>
            <w:tcW w:w="9576" w:type="dxa"/>
          </w:tcPr>
          <w:p w:rsidR="0017725B" w:rsidRDefault="00FB61CD" w:rsidP="00F704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B61CD" w:rsidP="00F70491">
            <w:pPr>
              <w:rPr>
                <w:b/>
                <w:u w:val="single"/>
              </w:rPr>
            </w:pPr>
          </w:p>
          <w:p w:rsidR="00D525CC" w:rsidRPr="00D525CC" w:rsidRDefault="00FB61CD" w:rsidP="00F70491">
            <w:pPr>
              <w:jc w:val="both"/>
            </w:pPr>
            <w:r>
              <w:t>It is the committee's opinion that this bill does not expressly create a criminal</w:t>
            </w:r>
            <w:r>
              <w:t xml:space="preserve">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FB61CD" w:rsidP="00F70491">
            <w:pPr>
              <w:rPr>
                <w:b/>
                <w:u w:val="single"/>
              </w:rPr>
            </w:pPr>
          </w:p>
        </w:tc>
      </w:tr>
      <w:tr w:rsidR="00D97EB8" w:rsidTr="00345119">
        <w:tc>
          <w:tcPr>
            <w:tcW w:w="9576" w:type="dxa"/>
          </w:tcPr>
          <w:p w:rsidR="008423E4" w:rsidRPr="00A8133F" w:rsidRDefault="00FB61CD" w:rsidP="00F7049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FB61CD" w:rsidP="00F70491"/>
          <w:p w:rsidR="00D525CC" w:rsidRDefault="00FB61CD" w:rsidP="00F7049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</w:t>
            </w:r>
            <w:r>
              <w:t>rulemaking authority is expressly granted to the Supreme Court of Texas in SECTION 8 of this bill.</w:t>
            </w:r>
          </w:p>
          <w:p w:rsidR="008423E4" w:rsidRPr="00E21FDC" w:rsidRDefault="00FB61CD" w:rsidP="00F70491">
            <w:pPr>
              <w:rPr>
                <w:b/>
              </w:rPr>
            </w:pPr>
          </w:p>
        </w:tc>
      </w:tr>
      <w:tr w:rsidR="00D97EB8" w:rsidTr="00345119">
        <w:tc>
          <w:tcPr>
            <w:tcW w:w="9576" w:type="dxa"/>
          </w:tcPr>
          <w:p w:rsidR="008423E4" w:rsidRPr="00A8133F" w:rsidRDefault="00FB61CD" w:rsidP="00F7049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FB61CD" w:rsidP="00F70491"/>
          <w:p w:rsidR="0046308B" w:rsidRDefault="00FB61CD" w:rsidP="00F907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 xml:space="preserve">02 amends the Government Code </w:t>
            </w:r>
            <w:r>
              <w:t xml:space="preserve">to postpone the date on which the </w:t>
            </w:r>
            <w:r>
              <w:t>State Bar of Texas</w:t>
            </w:r>
            <w:r>
              <w:t xml:space="preserve"> will be abolished unless continued </w:t>
            </w:r>
            <w:r>
              <w:t>under</w:t>
            </w:r>
            <w:r>
              <w:t xml:space="preserve"> the Texas Sunset Act from September 1, 2017</w:t>
            </w:r>
            <w:r>
              <w:t>,</w:t>
            </w:r>
            <w:r>
              <w:t xml:space="preserve"> to September 1, 2029.</w:t>
            </w:r>
            <w:r>
              <w:t xml:space="preserve"> The bill</w:t>
            </w:r>
            <w:r>
              <w:t xml:space="preserve">, </w:t>
            </w:r>
            <w:r>
              <w:t>with respect to the information that must be provided by the training program required for a member of the state bar's board of directors</w:t>
            </w:r>
            <w:r>
              <w:t xml:space="preserve">, </w:t>
            </w:r>
            <w:r w:rsidRPr="00925178">
              <w:t>replaces information regarding the legi</w:t>
            </w:r>
            <w:r w:rsidRPr="00925178">
              <w:t xml:space="preserve">slation that created the board with information regarding the law governing </w:t>
            </w:r>
            <w:r>
              <w:t>state</w:t>
            </w:r>
            <w:r>
              <w:t xml:space="preserve"> bar </w:t>
            </w:r>
            <w:r w:rsidRPr="00925178">
              <w:t>operation</w:t>
            </w:r>
            <w:r>
              <w:t>s;</w:t>
            </w:r>
            <w:r w:rsidRPr="007B1F92">
              <w:t xml:space="preserve"> </w:t>
            </w:r>
            <w:r w:rsidRPr="007B1F92">
              <w:t xml:space="preserve">adds information regarding the scope of and limitations on the state bar's rulemaking authority; </w:t>
            </w:r>
            <w:r w:rsidRPr="00925178">
              <w:t xml:space="preserve">and replaces information regarding </w:t>
            </w:r>
            <w:r>
              <w:t xml:space="preserve">the requirements of </w:t>
            </w:r>
            <w:r>
              <w:t xml:space="preserve">state </w:t>
            </w:r>
            <w:r>
              <w:t xml:space="preserve">open meetings law, </w:t>
            </w:r>
            <w:r w:rsidRPr="007B1F92">
              <w:t xml:space="preserve">state </w:t>
            </w:r>
            <w:r w:rsidRPr="007B1F92">
              <w:t xml:space="preserve">public information law, </w:t>
            </w:r>
            <w:r>
              <w:t xml:space="preserve">and </w:t>
            </w:r>
            <w:r w:rsidRPr="00925178">
              <w:t>other laws relating to public officials, inclu</w:t>
            </w:r>
            <w:r>
              <w:t>ding conflict of interest laws</w:t>
            </w:r>
            <w:r w:rsidRPr="007B1F92">
              <w:t>,</w:t>
            </w:r>
            <w:r w:rsidRPr="007B1F92">
              <w:t xml:space="preserve"> with information regarding </w:t>
            </w:r>
            <w:r w:rsidRPr="007B1F92">
              <w:t>the requirements of laws relating to open meetings, public information, administrative procedure</w:t>
            </w:r>
            <w:r>
              <w:t>,</w:t>
            </w:r>
            <w:r>
              <w:t xml:space="preserve"> </w:t>
            </w:r>
            <w:r>
              <w:t xml:space="preserve">and </w:t>
            </w:r>
            <w:r>
              <w:t>the disclosure of</w:t>
            </w:r>
            <w:r>
              <w:t xml:space="preserve"> conflicts of interest and </w:t>
            </w:r>
            <w:r w:rsidRPr="00925178">
              <w:t>other laws applicable to members of a state policymaking body in performing their duties</w:t>
            </w:r>
            <w:r>
              <w:t xml:space="preserve">. </w:t>
            </w:r>
          </w:p>
          <w:p w:rsidR="00AE68CF" w:rsidRDefault="00FB61CD" w:rsidP="00F907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423E4" w:rsidRDefault="00FB61CD" w:rsidP="00F907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</w:t>
            </w:r>
            <w:r w:rsidRPr="00DD2A6A">
              <w:t xml:space="preserve">.B. </w:t>
            </w:r>
            <w:r>
              <w:t>3</w:t>
            </w:r>
            <w:r w:rsidRPr="00DD2A6A">
              <w:t>02</w:t>
            </w:r>
            <w:r w:rsidRPr="00DD2A6A">
              <w:t xml:space="preserve"> requires the executive director </w:t>
            </w:r>
            <w:r w:rsidRPr="00AC7E96">
              <w:t xml:space="preserve">of the </w:t>
            </w:r>
            <w:r>
              <w:t>state bar</w:t>
            </w:r>
            <w:r w:rsidRPr="00AC7E96">
              <w:t xml:space="preserve"> to create a training manual that includes required </w:t>
            </w:r>
            <w:r>
              <w:t xml:space="preserve">training program </w:t>
            </w:r>
            <w:r w:rsidRPr="00AC7E96">
              <w:t xml:space="preserve">information and to distribute a copy of the training manual annually to each member of the </w:t>
            </w:r>
            <w:r>
              <w:t xml:space="preserve">state bar's </w:t>
            </w:r>
            <w:r w:rsidRPr="00AC7E96">
              <w:t>board</w:t>
            </w:r>
            <w:r>
              <w:t xml:space="preserve"> of </w:t>
            </w:r>
            <w:r w:rsidRPr="00DD2A6A">
              <w:t>directors</w:t>
            </w:r>
            <w:r w:rsidRPr="00DD2A6A">
              <w:t xml:space="preserve">. The bill requires each </w:t>
            </w:r>
            <w:r w:rsidRPr="00DD2A6A">
              <w:t xml:space="preserve">board </w:t>
            </w:r>
            <w:r w:rsidRPr="00DD2A6A">
              <w:t xml:space="preserve">member to sign and submit to the executive director </w:t>
            </w:r>
            <w:r w:rsidRPr="00DD2A6A">
              <w:t>on receipt of the training</w:t>
            </w:r>
            <w:r>
              <w:t xml:space="preserve"> manual </w:t>
            </w:r>
            <w:r w:rsidRPr="00AC7E96">
              <w:t>a</w:t>
            </w:r>
            <w:r w:rsidRPr="00AC7E96">
              <w:t xml:space="preserve"> statement acknowledging </w:t>
            </w:r>
            <w:r>
              <w:t xml:space="preserve">that </w:t>
            </w:r>
            <w:r w:rsidRPr="00AC7E96">
              <w:t>receipt.</w:t>
            </w:r>
            <w:r>
              <w:t xml:space="preserve"> </w:t>
            </w:r>
            <w:r>
              <w:t>The bill</w:t>
            </w:r>
            <w:r>
              <w:t>'s provisions regarding the training program for board members</w:t>
            </w:r>
            <w:r>
              <w:t xml:space="preserve"> apply</w:t>
            </w:r>
            <w:r>
              <w:t xml:space="preserve"> to a member appointed before, on, or after the bill's effective date but</w:t>
            </w:r>
            <w:r>
              <w:t xml:space="preserve"> require</w:t>
            </w:r>
            <w:r>
              <w:t xml:space="preserve"> a </w:t>
            </w:r>
            <w:r>
              <w:t xml:space="preserve">board </w:t>
            </w:r>
            <w:r w:rsidRPr="005B194A">
              <w:t>member w</w:t>
            </w:r>
            <w:r w:rsidRPr="005D7C21">
              <w:t xml:space="preserve">ho, before the bill's effective date, </w:t>
            </w:r>
            <w:r w:rsidRPr="00E7063A">
              <w:t>compl</w:t>
            </w:r>
            <w:r w:rsidRPr="00E7063A">
              <w:t>eted the training program</w:t>
            </w:r>
            <w:r>
              <w:t xml:space="preserve"> required under applicable law, as that law existed before the bill's effective date,</w:t>
            </w:r>
            <w:r w:rsidRPr="005D7C21">
              <w:t xml:space="preserve"> to complete additional training only on subjects added </w:t>
            </w:r>
            <w:r w:rsidRPr="00E7063A">
              <w:t>to the training program by the bill. The bill prohibits such a board member from voting, d</w:t>
            </w:r>
            <w:r w:rsidRPr="00E7063A">
              <w:t>eliberating, or being counted as a member in att</w:t>
            </w:r>
            <w:r w:rsidRPr="005B194A">
              <w:t xml:space="preserve">endance at a </w:t>
            </w:r>
            <w:r>
              <w:t xml:space="preserve">board </w:t>
            </w:r>
            <w:r w:rsidRPr="005B194A">
              <w:t>meeting held on or after December 1, 2017, until the member completes the additional training.</w:t>
            </w:r>
          </w:p>
          <w:p w:rsidR="00AC7E96" w:rsidRDefault="00FB61CD" w:rsidP="00F9070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4E6407" w:rsidRDefault="00FB61CD" w:rsidP="00F9070F">
            <w:pPr>
              <w:pStyle w:val="Header"/>
              <w:jc w:val="both"/>
            </w:pPr>
            <w:r>
              <w:t>S</w:t>
            </w:r>
            <w:r w:rsidRPr="0006579D">
              <w:t xml:space="preserve">.B. </w:t>
            </w:r>
            <w:r>
              <w:t>3</w:t>
            </w:r>
            <w:r w:rsidRPr="0006579D">
              <w:t>02 requires any change in a membership</w:t>
            </w:r>
            <w:r w:rsidRPr="00AC7E96">
              <w:t xml:space="preserve"> fee or other fee for state bar</w:t>
            </w:r>
            <w:r>
              <w:t xml:space="preserve"> members</w:t>
            </w:r>
            <w:r w:rsidRPr="00AC7E96">
              <w:t xml:space="preserve"> </w:t>
            </w:r>
            <w:r>
              <w:t>to</w:t>
            </w:r>
            <w:r w:rsidRPr="00AC7E96">
              <w:t xml:space="preserve"> be cle</w:t>
            </w:r>
            <w:r w:rsidRPr="00AC7E96">
              <w:t xml:space="preserve">arly described and included in the proposed budget and considered by the supreme court in </w:t>
            </w:r>
            <w:r>
              <w:t>the state bar budget</w:t>
            </w:r>
            <w:r w:rsidRPr="00AC7E96">
              <w:t xml:space="preserve"> </w:t>
            </w:r>
            <w:r w:rsidRPr="00AC7E96">
              <w:t>deliberations</w:t>
            </w:r>
            <w:r>
              <w:t>.</w:t>
            </w:r>
            <w:r>
              <w:t xml:space="preserve"> The bill prohibits an increase in a membership fee or other fee </w:t>
            </w:r>
            <w:r>
              <w:lastRenderedPageBreak/>
              <w:t xml:space="preserve">for state bar members from taking effect until the supreme court distributes the proposed fee change in ballot form to each member of the state bar and orders a vote, counts the returned ballots following the 30th day after the </w:t>
            </w:r>
            <w:r>
              <w:t xml:space="preserve">date the </w:t>
            </w:r>
            <w:r>
              <w:t>ballots are distrib</w:t>
            </w:r>
            <w:r>
              <w:t xml:space="preserve">uted, and promulgates the proposed fee, effective immediately, only on approval of the fee increase by a majority of the state bar members who voted on the increase. The bill authorizes the board of directors to </w:t>
            </w:r>
            <w:r w:rsidRPr="006E0974">
              <w:t>increase a membership fee or other fee for s</w:t>
            </w:r>
            <w:r w:rsidRPr="006E0974">
              <w:t>tate bar members, without distributing the proposed fee to the state bar members for a vote, on or after the sixth anniversary of the preceding fee increase provided the fee increase amount is not more than 10 percent of the previous fee amount.</w:t>
            </w:r>
            <w:r w:rsidRPr="0006579D">
              <w:t xml:space="preserve"> The bill </w:t>
            </w:r>
            <w:r w:rsidRPr="0006579D">
              <w:t>r</w:t>
            </w:r>
            <w:r w:rsidRPr="0006579D">
              <w:t xml:space="preserve">evises the </w:t>
            </w:r>
            <w:r w:rsidRPr="0006579D">
              <w:t>authoriz</w:t>
            </w:r>
            <w:r>
              <w:t>ation for</w:t>
            </w:r>
            <w:r w:rsidRPr="0006579D">
              <w:t xml:space="preserve"> </w:t>
            </w:r>
            <w:r w:rsidRPr="0006579D">
              <w:t xml:space="preserve">the </w:t>
            </w:r>
            <w:r w:rsidRPr="0006579D">
              <w:t>supreme court</w:t>
            </w:r>
            <w:r>
              <w:t xml:space="preserve"> for certain specified reasons</w:t>
            </w:r>
            <w:r w:rsidRPr="0006579D">
              <w:t xml:space="preserve"> </w:t>
            </w:r>
            <w:r w:rsidRPr="0006579D">
              <w:t>to</w:t>
            </w:r>
            <w:r w:rsidRPr="0006579D">
              <w:t xml:space="preserve"> prepare, propose, and adopt rules or amendments to rules </w:t>
            </w:r>
            <w:r>
              <w:t xml:space="preserve">with respect to </w:t>
            </w:r>
            <w:r>
              <w:t xml:space="preserve">certain aspects of </w:t>
            </w:r>
            <w:r>
              <w:t>the state bar by</w:t>
            </w:r>
            <w:r>
              <w:t>, among other changes,</w:t>
            </w:r>
            <w:r>
              <w:t xml:space="preserve"> replacing as</w:t>
            </w:r>
            <w:r>
              <w:t xml:space="preserve"> one of those aspects </w:t>
            </w:r>
            <w:r w:rsidRPr="0006579D">
              <w:t>the conduct</w:t>
            </w:r>
            <w:r w:rsidRPr="0006579D">
              <w:t xml:space="preserve"> of</w:t>
            </w:r>
            <w:r>
              <w:t xml:space="preserve"> the </w:t>
            </w:r>
            <w:r w:rsidRPr="00923BDC">
              <w:t xml:space="preserve">state bar </w:t>
            </w:r>
            <w:r w:rsidRPr="00A949A5">
              <w:t>with the administration of the state bar</w:t>
            </w:r>
            <w:r>
              <w:t xml:space="preserve">. The bill </w:t>
            </w:r>
            <w:r w:rsidRPr="00923BDC">
              <w:t>specif</w:t>
            </w:r>
            <w:r>
              <w:t>ies</w:t>
            </w:r>
            <w:r w:rsidRPr="00923BDC">
              <w:t xml:space="preserve"> </w:t>
            </w:r>
            <w:r w:rsidRPr="00923BDC">
              <w:t>that</w:t>
            </w:r>
            <w:r>
              <w:t xml:space="preserve"> the </w:t>
            </w:r>
            <w:r>
              <w:t xml:space="preserve">supreme </w:t>
            </w:r>
            <w:r>
              <w:t>court's adoption of rules for the discipline of state bar members</w:t>
            </w:r>
            <w:r>
              <w:t xml:space="preserve"> </w:t>
            </w:r>
            <w:r w:rsidRPr="00FA51BD">
              <w:t>includ</w:t>
            </w:r>
            <w:r>
              <w:t>es</w:t>
            </w:r>
            <w:r w:rsidRPr="00FA51BD">
              <w:t xml:space="preserve"> the Texas Disciplinary Rules of Professional Conduct and the Texas Rules of Disciplin</w:t>
            </w:r>
            <w:r w:rsidRPr="00FA51BD">
              <w:t>ary Procedure</w:t>
            </w:r>
            <w:r>
              <w:t xml:space="preserve"> and</w:t>
            </w:r>
            <w:r>
              <w:t xml:space="preserve"> is in accordance with the bill's provisions regarding the Committee on Disciplinary Rules and Referenda and</w:t>
            </w:r>
            <w:r>
              <w:t xml:space="preserve"> the</w:t>
            </w:r>
            <w:r>
              <w:t xml:space="preserve"> disciplinary rule proposal process.</w:t>
            </w:r>
          </w:p>
          <w:p w:rsidR="005D15F8" w:rsidRDefault="00FB61CD" w:rsidP="00F9070F">
            <w:pPr>
              <w:pStyle w:val="Header"/>
              <w:jc w:val="both"/>
            </w:pPr>
          </w:p>
          <w:p w:rsidR="00CD7B32" w:rsidRDefault="00FB61CD" w:rsidP="00F9070F">
            <w:pPr>
              <w:pStyle w:val="Header"/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>02</w:t>
            </w:r>
            <w:r>
              <w:t xml:space="preserve"> requires t</w:t>
            </w:r>
            <w:r w:rsidRPr="008C41E6">
              <w:t xml:space="preserve">he state bar </w:t>
            </w:r>
            <w:r>
              <w:t>to</w:t>
            </w:r>
            <w:r w:rsidRPr="008C41E6">
              <w:t xml:space="preserve"> require that each state bar </w:t>
            </w:r>
            <w:r>
              <w:t xml:space="preserve">member </w:t>
            </w:r>
            <w:r w:rsidRPr="008C41E6">
              <w:t xml:space="preserve">submit a complete </w:t>
            </w:r>
            <w:r w:rsidRPr="008C41E6">
              <w:t>and legible set of fingerprints, on a form prescribed by the state bar, to the state bar or to the Department of Public Safety</w:t>
            </w:r>
            <w:r>
              <w:t xml:space="preserve"> (DPS)</w:t>
            </w:r>
            <w:r w:rsidRPr="008C41E6">
              <w:t xml:space="preserve"> for the purpose of obtaining criminal history record information from </w:t>
            </w:r>
            <w:r>
              <w:t>DPS</w:t>
            </w:r>
            <w:r w:rsidRPr="008C41E6">
              <w:t xml:space="preserve"> and the </w:t>
            </w:r>
            <w:r>
              <w:t>Federal Bureau of Investigation (</w:t>
            </w:r>
            <w:r>
              <w:t>FBI</w:t>
            </w:r>
            <w:r>
              <w:t>)</w:t>
            </w:r>
            <w:r>
              <w:t xml:space="preserve"> but</w:t>
            </w:r>
            <w:r>
              <w:t xml:space="preserve"> exempts </w:t>
            </w:r>
            <w:r>
              <w:t xml:space="preserve">from this requirement </w:t>
            </w:r>
            <w:r>
              <w:t>members who have previously s</w:t>
            </w:r>
            <w:r>
              <w:t>ubmitted fingerprints to the Board of Law Examiners,</w:t>
            </w:r>
            <w:r>
              <w:t xml:space="preserve"> which made the information accessible to</w:t>
            </w:r>
            <w:r>
              <w:t xml:space="preserve"> the state bar</w:t>
            </w:r>
            <w:r>
              <w:t>,</w:t>
            </w:r>
            <w:r>
              <w:t xml:space="preserve"> or </w:t>
            </w:r>
            <w:r>
              <w:t xml:space="preserve">the state bar or </w:t>
            </w:r>
            <w:r>
              <w:t xml:space="preserve">DPS </w:t>
            </w:r>
            <w:r>
              <w:t>under the State Bar Act</w:t>
            </w:r>
            <w:r>
              <w:t xml:space="preserve">. </w:t>
            </w:r>
            <w:r w:rsidRPr="008C41E6">
              <w:t>The</w:t>
            </w:r>
            <w:r>
              <w:t xml:space="preserve"> bill authorizes the</w:t>
            </w:r>
            <w:r w:rsidRPr="008C41E6">
              <w:t xml:space="preserve"> state bar </w:t>
            </w:r>
            <w:r>
              <w:t>to</w:t>
            </w:r>
            <w:r w:rsidRPr="008C41E6">
              <w:t xml:space="preserve"> o</w:t>
            </w:r>
            <w:r w:rsidRPr="008C41E6">
              <w:t>btain the information from the Board of Law Examiners for a state bar member who has been issued an initial license.</w:t>
            </w:r>
            <w:r>
              <w:t xml:space="preserve"> </w:t>
            </w:r>
            <w:r w:rsidRPr="006F13F9">
              <w:t xml:space="preserve">The </w:t>
            </w:r>
            <w:r>
              <w:t xml:space="preserve">bill </w:t>
            </w:r>
            <w:r>
              <w:t xml:space="preserve">requires </w:t>
            </w:r>
            <w:r>
              <w:t>the</w:t>
            </w:r>
            <w:r>
              <w:t xml:space="preserve"> state bar</w:t>
            </w:r>
            <w:r>
              <w:t xml:space="preserve"> </w:t>
            </w:r>
            <w:r>
              <w:t>to</w:t>
            </w:r>
            <w:r w:rsidRPr="006F13F9">
              <w:t xml:space="preserve"> conduct a criminal history record check of each </w:t>
            </w:r>
            <w:r>
              <w:t xml:space="preserve">state bar </w:t>
            </w:r>
            <w:r w:rsidRPr="006F13F9">
              <w:t xml:space="preserve">member </w:t>
            </w:r>
            <w:r>
              <w:t>using information</w:t>
            </w:r>
            <w:r>
              <w:t xml:space="preserve"> </w:t>
            </w:r>
            <w:r>
              <w:t>provided by the state</w:t>
            </w:r>
            <w:r>
              <w:t xml:space="preserve"> bar member or the Board of Law Examiners or </w:t>
            </w:r>
            <w:r>
              <w:t xml:space="preserve">information </w:t>
            </w:r>
            <w:r>
              <w:t>made available to the state bar by DPS, the FBI, and any other criminal justice agency</w:t>
            </w:r>
            <w:r>
              <w:t xml:space="preserve"> under statutory provisions relating to DPS</w:t>
            </w:r>
            <w:r>
              <w:t xml:space="preserve">. </w:t>
            </w:r>
            <w:r>
              <w:t>The bill authorizes the state bar to enter into an agreement with DP</w:t>
            </w:r>
            <w:r>
              <w:t xml:space="preserve">S to administer a criminal history record check and authorizes DPS to collect from each state bar member the costs incurred by DPS in conducting the check. </w:t>
            </w:r>
            <w:r w:rsidRPr="00A82EC3">
              <w:t>The</w:t>
            </w:r>
            <w:r>
              <w:t xml:space="preserve"> bill authorizes the</w:t>
            </w:r>
            <w:r w:rsidRPr="00A82EC3">
              <w:t xml:space="preserve"> state bar </w:t>
            </w:r>
            <w:r>
              <w:t>to</w:t>
            </w:r>
            <w:r w:rsidRPr="00A82EC3">
              <w:t xml:space="preserve"> administratively suspend the license of a state bar </w:t>
            </w:r>
            <w:r>
              <w:t xml:space="preserve">member </w:t>
            </w:r>
            <w:r w:rsidRPr="00A82EC3">
              <w:t xml:space="preserve">who </w:t>
            </w:r>
            <w:r w:rsidRPr="00A82EC3">
              <w:t>fails to assist the state bar in obtaining crim</w:t>
            </w:r>
            <w:r>
              <w:t xml:space="preserve">inal history record information. </w:t>
            </w:r>
            <w:r>
              <w:t xml:space="preserve">The bill requires the state bar </w:t>
            </w:r>
            <w:r>
              <w:t>to</w:t>
            </w:r>
            <w:r>
              <w:t xml:space="preserve"> obtain criminal history record information on each person </w:t>
            </w:r>
            <w:r>
              <w:t>who is a state bar</w:t>
            </w:r>
            <w:r>
              <w:t xml:space="preserve"> member</w:t>
            </w:r>
            <w:r>
              <w:t xml:space="preserve"> on the bill's effective date not later than September 1, </w:t>
            </w:r>
            <w:r>
              <w:t>2019.</w:t>
            </w:r>
          </w:p>
          <w:p w:rsidR="00A82EC3" w:rsidRDefault="00FB61CD" w:rsidP="00F9070F">
            <w:pPr>
              <w:pStyle w:val="Header"/>
              <w:jc w:val="both"/>
            </w:pPr>
          </w:p>
          <w:p w:rsidR="00A82EC3" w:rsidRDefault="00FB61CD" w:rsidP="00F9070F">
            <w:pPr>
              <w:pStyle w:val="Header"/>
              <w:jc w:val="both"/>
            </w:pPr>
            <w:r>
              <w:t xml:space="preserve">S.B. </w:t>
            </w:r>
            <w:r>
              <w:t>3</w:t>
            </w:r>
            <w:r>
              <w:t xml:space="preserve">02 </w:t>
            </w:r>
            <w:r>
              <w:t>se</w:t>
            </w:r>
            <w:r>
              <w:t>t</w:t>
            </w:r>
            <w:r>
              <w:t xml:space="preserve">s </w:t>
            </w:r>
            <w:r>
              <w:t xml:space="preserve">the supreme court's annual budget process as </w:t>
            </w:r>
            <w:r>
              <w:t>the time during which</w:t>
            </w:r>
            <w:r>
              <w:t xml:space="preserve"> the court</w:t>
            </w:r>
            <w:r>
              <w:t xml:space="preserve"> is required to set </w:t>
            </w:r>
            <w:r>
              <w:t xml:space="preserve">membership fees and other fees for </w:t>
            </w:r>
            <w:r>
              <w:t>state bar</w:t>
            </w:r>
            <w:r>
              <w:t xml:space="preserve"> </w:t>
            </w:r>
            <w:r>
              <w:t xml:space="preserve">members </w:t>
            </w:r>
            <w:r>
              <w:t>and</w:t>
            </w:r>
            <w:r>
              <w:t xml:space="preserve"> removes the requirement that the supreme court set </w:t>
            </w:r>
            <w:r>
              <w:t xml:space="preserve">such fees </w:t>
            </w:r>
            <w:r>
              <w:t xml:space="preserve">in accordance with provisions relating to state bar rules. </w:t>
            </w:r>
            <w:r>
              <w:t xml:space="preserve">The bill </w:t>
            </w:r>
            <w:r>
              <w:t xml:space="preserve">replaces </w:t>
            </w:r>
            <w:r>
              <w:t xml:space="preserve">the requirement </w:t>
            </w:r>
            <w:r>
              <w:t xml:space="preserve">that </w:t>
            </w:r>
            <w:r>
              <w:t xml:space="preserve">the state bar establish a voluntary mediation and dispute resolution procedure to attempt to resolve each allegation of attorney misconduct </w:t>
            </w:r>
            <w:r>
              <w:t xml:space="preserve">that is </w:t>
            </w:r>
            <w:r>
              <w:t>of a certa</w:t>
            </w:r>
            <w:r>
              <w:t>in classification</w:t>
            </w:r>
            <w:r>
              <w:t xml:space="preserve"> </w:t>
            </w:r>
            <w:r>
              <w:t xml:space="preserve">with </w:t>
            </w:r>
            <w:r>
              <w:t xml:space="preserve">a </w:t>
            </w:r>
            <w:r>
              <w:t xml:space="preserve">requirement that the state bar establish such a procedure to attempt to resolve each </w:t>
            </w:r>
            <w:r w:rsidRPr="00B74497">
              <w:t xml:space="preserve">minor grievance referred to the voluntary mediation and dispute resolution procedure by the </w:t>
            </w:r>
            <w:r>
              <w:t xml:space="preserve">state bar's </w:t>
            </w:r>
            <w:r w:rsidRPr="00B74497">
              <w:t>chief disciplinary counsel</w:t>
            </w:r>
            <w:r>
              <w:t xml:space="preserve">. </w:t>
            </w:r>
            <w:r>
              <w:t>The bill requi</w:t>
            </w:r>
            <w:r>
              <w:t>res the state bar to assist the supreme court on rule modifications to the Texas Rules of Disciplinary Procedure that are necessary to address</w:t>
            </w:r>
            <w:r>
              <w:t xml:space="preserve"> such grievance</w:t>
            </w:r>
            <w:r>
              <w:t>s</w:t>
            </w:r>
            <w:r>
              <w:t>.</w:t>
            </w:r>
          </w:p>
          <w:p w:rsidR="005036CD" w:rsidRDefault="00FB61CD" w:rsidP="00F9070F">
            <w:pPr>
              <w:pStyle w:val="Header"/>
              <w:jc w:val="both"/>
            </w:pPr>
          </w:p>
          <w:p w:rsidR="00E054E7" w:rsidRDefault="00FB61CD" w:rsidP="00F9070F">
            <w:pPr>
              <w:pStyle w:val="Header"/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>02 authorizes the chief disciplinary counsel, o</w:t>
            </w:r>
            <w:r w:rsidRPr="005036CD">
              <w:t>n approval of the presiding officer of the</w:t>
            </w:r>
            <w:r w:rsidRPr="005036CD">
              <w:t xml:space="preserve"> appropriate district grievance committee</w:t>
            </w:r>
            <w:r>
              <w:t>,</w:t>
            </w:r>
            <w:r w:rsidRPr="005036CD">
              <w:t xml:space="preserve"> </w:t>
            </w:r>
            <w:r>
              <w:t>to</w:t>
            </w:r>
            <w:r w:rsidRPr="005036CD">
              <w:t xml:space="preserve"> issue</w:t>
            </w:r>
            <w:r w:rsidRPr="005036CD">
              <w:t xml:space="preserve"> during </w:t>
            </w:r>
            <w:r>
              <w:t>an investigation of a grievance</w:t>
            </w:r>
            <w:r w:rsidRPr="005036CD">
              <w:t xml:space="preserve"> a subpoena that relates directly to a specific al</w:t>
            </w:r>
            <w:r>
              <w:t>legation of attorney misconduct and requires t</w:t>
            </w:r>
            <w:r w:rsidRPr="005036CD">
              <w:t xml:space="preserve">he </w:t>
            </w:r>
            <w:r>
              <w:t xml:space="preserve">chief disciplinary </w:t>
            </w:r>
            <w:r w:rsidRPr="005036CD">
              <w:t xml:space="preserve">counsel </w:t>
            </w:r>
            <w:r>
              <w:t xml:space="preserve">to </w:t>
            </w:r>
            <w:r w:rsidRPr="005036CD">
              <w:t>provide a process</w:t>
            </w:r>
            <w:r>
              <w:t xml:space="preserve"> for a respondent to object to such a subpoena</w:t>
            </w:r>
            <w:r w:rsidRPr="005036CD">
              <w:t>.</w:t>
            </w:r>
            <w:r>
              <w:t xml:space="preserve"> The bill requires the chief disciplinary</w:t>
            </w:r>
            <w:r>
              <w:t xml:space="preserve"> </w:t>
            </w:r>
            <w:r>
              <w:t>counsel to develop guidelines and a procedure for an attorney to self-report any criminal offense committed by the attorney and any disciplinary action taken by anothe</w:t>
            </w:r>
            <w:r>
              <w:t>r state's bar against the attorney and to develop</w:t>
            </w:r>
            <w:r w:rsidRPr="00A052F3">
              <w:t xml:space="preserve"> a process to identify a complaint that is appropriate for a settlement attempt or an investigatory hearing before a trial is requested or the complaint is placed on a hearing docket.</w:t>
            </w:r>
            <w:r>
              <w:t xml:space="preserve"> The bill authorizes t</w:t>
            </w:r>
            <w:r w:rsidRPr="00A052F3">
              <w:t>he</w:t>
            </w:r>
            <w:r>
              <w:t xml:space="preserve"> chief disciplinary</w:t>
            </w:r>
            <w:r w:rsidRPr="00A052F3">
              <w:t xml:space="preserve"> counsel </w:t>
            </w:r>
            <w:r>
              <w:t>to</w:t>
            </w:r>
            <w:r w:rsidRPr="00A052F3">
              <w:t xml:space="preserve"> authorize a settlement at any time during the disciplinary process</w:t>
            </w:r>
            <w:r w:rsidRPr="008E61BB">
              <w:t xml:space="preserve">. </w:t>
            </w:r>
            <w:r w:rsidRPr="008E61BB">
              <w:t xml:space="preserve">The bill requires the chief </w:t>
            </w:r>
            <w:r w:rsidRPr="008E61BB">
              <w:lastRenderedPageBreak/>
              <w:t>disciplinary</w:t>
            </w:r>
            <w:r w:rsidRPr="008E61BB">
              <w:t xml:space="preserve"> </w:t>
            </w:r>
            <w:r w:rsidRPr="008E61BB">
              <w:t>counsel to develop proposed changes to the disciplinary rules regarding</w:t>
            </w:r>
            <w:r>
              <w:t xml:space="preserve"> the time for conducting an investigation of </w:t>
            </w:r>
            <w:r>
              <w:t>a grievance or issuing a subpoena related to an investigation or attempting a settlement in an investigatory hearing</w:t>
            </w:r>
            <w:r>
              <w:t xml:space="preserve"> under the bill's provisions</w:t>
            </w:r>
            <w:r>
              <w:t xml:space="preserve">, to propose rules necessary to </w:t>
            </w:r>
            <w:r w:rsidRPr="008E61BB">
              <w:t>implement the settlement process as added by the bill, and to propose rules to e</w:t>
            </w:r>
            <w:r w:rsidRPr="008E61BB">
              <w:t>stablish a grievance referral program under the Texas Rules of Disciplinary Procedure, including criteria for attorney participation and authorization for use of the program at any point in the attorney disciplinary process.</w:t>
            </w:r>
          </w:p>
          <w:p w:rsidR="00E054E7" w:rsidRDefault="00FB61CD" w:rsidP="00F9070F">
            <w:pPr>
              <w:pStyle w:val="Header"/>
              <w:jc w:val="both"/>
            </w:pPr>
          </w:p>
          <w:p w:rsidR="00A052F3" w:rsidRDefault="00FB61CD" w:rsidP="00F9070F">
            <w:pPr>
              <w:pStyle w:val="Header"/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>02</w:t>
            </w:r>
            <w:r>
              <w:t xml:space="preserve"> requires the chief di</w:t>
            </w:r>
            <w:r>
              <w:t xml:space="preserve">sciplinary counsel to propose and requires the supreme court to adopt by rule sanction guidelines to associate a specific rule violation or ethical misconduct with a range of </w:t>
            </w:r>
            <w:r w:rsidRPr="00E14375">
              <w:t>appropriate sanctions, provide aggravating and mitigating factors that justify de</w:t>
            </w:r>
            <w:r w:rsidRPr="00E14375">
              <w:t xml:space="preserve">viating from the established sanctions, and provide consistency between </w:t>
            </w:r>
            <w:r>
              <w:t xml:space="preserve">complaints </w:t>
            </w:r>
            <w:r w:rsidRPr="00E14375">
              <w:t xml:space="preserve">heard by a district grievance committee and </w:t>
            </w:r>
            <w:r>
              <w:t xml:space="preserve">complaints </w:t>
            </w:r>
            <w:r w:rsidRPr="00E14375">
              <w:t>heard by a district court.</w:t>
            </w:r>
            <w:r w:rsidRPr="00E14375">
              <w:t xml:space="preserve"> The</w:t>
            </w:r>
            <w:r>
              <w:t xml:space="preserve"> bill requires the chief disciplinary counsel to ensure that interested parties are prov</w:t>
            </w:r>
            <w:r>
              <w:t>ided an opportunity to comment on the proposed sanction guidelines and establishes that such sanction guidelines do not limit the authority of a district grievance committee or of a district judge to make a finding or issue a decision.</w:t>
            </w:r>
            <w:r>
              <w:t xml:space="preserve"> </w:t>
            </w:r>
            <w:r>
              <w:t xml:space="preserve">The bill authorizes </w:t>
            </w:r>
            <w:r>
              <w:t xml:space="preserve">the </w:t>
            </w:r>
            <w:r>
              <w:t xml:space="preserve">chief disciplinary </w:t>
            </w:r>
            <w:r>
              <w:t>counsel to hold investigatory and disciplinary hearings by teleconference.</w:t>
            </w:r>
          </w:p>
          <w:p w:rsidR="00741F54" w:rsidRDefault="00FB61CD" w:rsidP="00F9070F">
            <w:pPr>
              <w:pStyle w:val="Header"/>
              <w:jc w:val="both"/>
            </w:pPr>
          </w:p>
          <w:p w:rsidR="00741F54" w:rsidRDefault="00FB61CD" w:rsidP="00F9070F">
            <w:pPr>
              <w:pStyle w:val="Header"/>
              <w:jc w:val="both"/>
            </w:pPr>
            <w:r>
              <w:t>S</w:t>
            </w:r>
            <w:r w:rsidRPr="00A7282B">
              <w:t xml:space="preserve">.B. </w:t>
            </w:r>
            <w:r>
              <w:t>3</w:t>
            </w:r>
            <w:r w:rsidRPr="00A7282B">
              <w:t>02 requires the supreme court to adopt, not later than March 1, 2018, the rules necessary to modify the voluntary</w:t>
            </w:r>
            <w:r>
              <w:t xml:space="preserve"> mediation and dispute resolution proc</w:t>
            </w:r>
            <w:r>
              <w:t>edures for grievances</w:t>
            </w:r>
            <w:r>
              <w:t xml:space="preserve"> as required by the bill</w:t>
            </w:r>
            <w:r>
              <w:t>; to authorize the issuance of subpoenas</w:t>
            </w:r>
            <w:r>
              <w:t xml:space="preserve"> under the bill's provisions</w:t>
            </w:r>
            <w:r>
              <w:t xml:space="preserve">; to implement </w:t>
            </w:r>
            <w:r>
              <w:t xml:space="preserve">the bill's provisions regarding </w:t>
            </w:r>
            <w:r>
              <w:t>attorney self-reporting; to revise the time provided for grievance investigations, subpoena issu</w:t>
            </w:r>
            <w:r>
              <w:t>ance, investigatory hearings</w:t>
            </w:r>
            <w:r>
              <w:t>, and providing</w:t>
            </w:r>
            <w:r>
              <w:t xml:space="preserve"> voluntary mediation and dispute resolution</w:t>
            </w:r>
            <w:r>
              <w:t xml:space="preserve"> under the bill's provisions</w:t>
            </w:r>
            <w:r>
              <w:t xml:space="preserve">; to establish the process to identify complaints suitable for settlement attempts and authorize the chief disciplinary counsel to conduct </w:t>
            </w:r>
            <w:r>
              <w:t>investigatory and disciplinary hearings by teleconference</w:t>
            </w:r>
            <w:r>
              <w:t xml:space="preserve"> under the bill's provisions</w:t>
            </w:r>
            <w:r>
              <w:t>;</w:t>
            </w:r>
            <w:r>
              <w:t xml:space="preserve"> to </w:t>
            </w:r>
            <w:r>
              <w:t xml:space="preserve">establish </w:t>
            </w:r>
            <w:r>
              <w:t>the</w:t>
            </w:r>
            <w:r>
              <w:t xml:space="preserve"> grievance referral program</w:t>
            </w:r>
            <w:r>
              <w:t xml:space="preserve"> under the Texas Rules of Disciplinary Procedure</w:t>
            </w:r>
            <w:r>
              <w:t xml:space="preserve"> as required by the bill</w:t>
            </w:r>
            <w:r>
              <w:t>; and</w:t>
            </w:r>
            <w:r>
              <w:t xml:space="preserve"> </w:t>
            </w:r>
            <w:r>
              <w:t xml:space="preserve">to </w:t>
            </w:r>
            <w:r>
              <w:t>establish the sanction guidelines proposed by</w:t>
            </w:r>
            <w:r>
              <w:t xml:space="preserve"> the counsel</w:t>
            </w:r>
            <w:r>
              <w:t xml:space="preserve"> under the bill's provisions</w:t>
            </w:r>
            <w:r>
              <w:t>.</w:t>
            </w:r>
          </w:p>
          <w:p w:rsidR="004A756A" w:rsidRDefault="00FB61CD" w:rsidP="00F9070F">
            <w:pPr>
              <w:pStyle w:val="Header"/>
              <w:jc w:val="both"/>
            </w:pPr>
          </w:p>
          <w:p w:rsidR="004A756A" w:rsidRDefault="00FB61CD" w:rsidP="00F9070F">
            <w:pPr>
              <w:pStyle w:val="Header"/>
              <w:jc w:val="both"/>
            </w:pPr>
            <w:r>
              <w:t>S</w:t>
            </w:r>
            <w:r w:rsidRPr="00E14375">
              <w:t xml:space="preserve">.B. </w:t>
            </w:r>
            <w:r>
              <w:t>3</w:t>
            </w:r>
            <w:r w:rsidRPr="00E14375">
              <w:t>02 requires the chief disciplinary counsel to create and maintain a grievance tracking system for grievances filed and disciplinary decisions issued</w:t>
            </w:r>
            <w:r>
              <w:t xml:space="preserve"> </w:t>
            </w:r>
            <w:r>
              <w:t xml:space="preserve">under provisions relating to the discipline of state bar members </w:t>
            </w:r>
            <w:r>
              <w:t xml:space="preserve">and sets out requirements for </w:t>
            </w:r>
            <w:r>
              <w:t xml:space="preserve">the </w:t>
            </w:r>
            <w:r>
              <w:t>system</w:t>
            </w:r>
            <w:r>
              <w:t xml:space="preserve">. The bill requires the chief disciplinary counsel to periodically evaluate and report information gathered in the system to </w:t>
            </w:r>
            <w:r w:rsidRPr="00637E2C">
              <w:t xml:space="preserve">the Commission for Lawyer </w:t>
            </w:r>
            <w:r w:rsidRPr="00637E2C">
              <w:t xml:space="preserve">Discipline </w:t>
            </w:r>
            <w:r>
              <w:t xml:space="preserve">and district grievance committee members and to post </w:t>
            </w:r>
            <w:r>
              <w:t xml:space="preserve">the </w:t>
            </w:r>
            <w:r>
              <w:t>information on the state bar's website. The bill requires the chief disciplinary counsel to establish a process to regularly search the National Lawyer Regulatory Data Bank maintained by t</w:t>
            </w:r>
            <w:r>
              <w:t xml:space="preserve">he American Bar Association to identify a state bar </w:t>
            </w:r>
            <w:r>
              <w:t xml:space="preserve">member </w:t>
            </w:r>
            <w:r>
              <w:t xml:space="preserve">who </w:t>
            </w:r>
            <w:r>
              <w:t>is disciplined in another state</w:t>
            </w:r>
            <w:r>
              <w:t>.</w:t>
            </w:r>
            <w:r>
              <w:t xml:space="preserve"> </w:t>
            </w:r>
          </w:p>
          <w:p w:rsidR="00CF43BE" w:rsidRDefault="00FB61CD" w:rsidP="00F9070F">
            <w:pPr>
              <w:pStyle w:val="Header"/>
              <w:jc w:val="both"/>
            </w:pPr>
          </w:p>
          <w:p w:rsidR="00216254" w:rsidRDefault="00FB61CD" w:rsidP="00F9070F">
            <w:pPr>
              <w:pStyle w:val="Header"/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 xml:space="preserve">02 establishes the </w:t>
            </w:r>
            <w:r w:rsidRPr="00790231">
              <w:t>Committee on Disciplinary Rules and Referenda</w:t>
            </w:r>
            <w:r w:rsidRPr="00790231">
              <w:t xml:space="preserve"> and</w:t>
            </w:r>
            <w:r>
              <w:t xml:space="preserve"> </w:t>
            </w:r>
            <w:r>
              <w:t>provides for</w:t>
            </w:r>
            <w:r>
              <w:t xml:space="preserve"> the composition of the </w:t>
            </w:r>
            <w:r>
              <w:t xml:space="preserve">nine-member </w:t>
            </w:r>
            <w:r>
              <w:t>committee</w:t>
            </w:r>
            <w:r>
              <w:t>, the</w:t>
            </w:r>
            <w:r>
              <w:t xml:space="preserve"> members'</w:t>
            </w:r>
            <w:r>
              <w:t xml:space="preserve"> terms of se</w:t>
            </w:r>
            <w:r>
              <w:t xml:space="preserve">rvice, </w:t>
            </w:r>
            <w:r>
              <w:t>the designat</w:t>
            </w:r>
            <w:r>
              <w:t>ion</w:t>
            </w:r>
            <w:r>
              <w:t xml:space="preserve"> </w:t>
            </w:r>
            <w:r>
              <w:t>of</w:t>
            </w:r>
            <w:r>
              <w:t xml:space="preserve"> the presiding officer</w:t>
            </w:r>
            <w:r>
              <w:t>,</w:t>
            </w:r>
            <w:r>
              <w:t xml:space="preserve"> </w:t>
            </w:r>
            <w:r>
              <w:t>and the appointment</w:t>
            </w:r>
            <w:r>
              <w:t>, not later than January 1, 2018,</w:t>
            </w:r>
            <w:r>
              <w:t xml:space="preserve"> of initial </w:t>
            </w:r>
            <w:r>
              <w:t xml:space="preserve">committee </w:t>
            </w:r>
            <w:r>
              <w:t xml:space="preserve">members by the president of the state bar and </w:t>
            </w:r>
            <w:r>
              <w:t xml:space="preserve">by </w:t>
            </w:r>
            <w:r>
              <w:t>the supreme court</w:t>
            </w:r>
            <w:r>
              <w:t xml:space="preserve">. </w:t>
            </w:r>
            <w:r>
              <w:t xml:space="preserve">The bill authorizes the state bar to hire a staff </w:t>
            </w:r>
            <w:r>
              <w:t xml:space="preserve">attorney to assist the committee. </w:t>
            </w:r>
            <w:r w:rsidRPr="00C53A52">
              <w:t xml:space="preserve">The bill requires the committee to regularly review the Texas Disciplinary Rules of Professional Conduct and the Texas Rules of Disciplinary Procedure, </w:t>
            </w:r>
            <w:r w:rsidRPr="00C53A52">
              <w:t xml:space="preserve">to issue to the supreme court and the </w:t>
            </w:r>
            <w:r>
              <w:t xml:space="preserve">state bar's </w:t>
            </w:r>
            <w:r w:rsidRPr="00C53A52">
              <w:t xml:space="preserve">board </w:t>
            </w:r>
            <w:r>
              <w:t xml:space="preserve">of directors </w:t>
            </w:r>
            <w:r w:rsidRPr="00C53A52">
              <w:t>a</w:t>
            </w:r>
            <w:r w:rsidRPr="00C53A52">
              <w:t xml:space="preserve"> report on the adequacy of such rules at least annually</w:t>
            </w:r>
            <w:r w:rsidRPr="00C53A52">
              <w:t xml:space="preserve">, and </w:t>
            </w:r>
            <w:r w:rsidRPr="00C53A52">
              <w:t xml:space="preserve">to </w:t>
            </w:r>
            <w:r w:rsidRPr="00C53A52">
              <w:t>oversee the initial process for proposing a disciplinary rule</w:t>
            </w:r>
            <w:r>
              <w:t xml:space="preserve"> under the bill's provisions</w:t>
            </w:r>
            <w:r w:rsidRPr="00C53A52">
              <w:t>.</w:t>
            </w:r>
          </w:p>
          <w:p w:rsidR="00216254" w:rsidRDefault="00FB61CD" w:rsidP="00F9070F">
            <w:pPr>
              <w:pStyle w:val="Header"/>
              <w:jc w:val="both"/>
            </w:pPr>
          </w:p>
          <w:p w:rsidR="007E75E1" w:rsidRDefault="00FB61CD" w:rsidP="00F9070F">
            <w:pPr>
              <w:pStyle w:val="Header"/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>02</w:t>
            </w:r>
            <w:r>
              <w:t xml:space="preserve"> </w:t>
            </w:r>
            <w:r>
              <w:t xml:space="preserve">sets out the process by which </w:t>
            </w:r>
            <w:r>
              <w:t xml:space="preserve">disciplinary </w:t>
            </w:r>
            <w:r>
              <w:t xml:space="preserve">rules </w:t>
            </w:r>
            <w:r>
              <w:t xml:space="preserve">for the state bar </w:t>
            </w:r>
            <w:r>
              <w:t>are proposed</w:t>
            </w:r>
            <w:r>
              <w:t>, considered</w:t>
            </w:r>
            <w:r>
              <w:t xml:space="preserve">, </w:t>
            </w:r>
            <w:r>
              <w:t xml:space="preserve">withdrawn, </w:t>
            </w:r>
            <w:r>
              <w:t>and recommended</w:t>
            </w:r>
            <w:r>
              <w:t xml:space="preserve"> and</w:t>
            </w:r>
            <w:r>
              <w:t xml:space="preserve"> </w:t>
            </w:r>
            <w:r>
              <w:t xml:space="preserve">the manner in which that process is initiated </w:t>
            </w:r>
            <w:r>
              <w:t xml:space="preserve">by the committee. The bill </w:t>
            </w:r>
            <w:r>
              <w:t xml:space="preserve">requires the </w:t>
            </w:r>
            <w:r>
              <w:t xml:space="preserve">state bar's </w:t>
            </w:r>
            <w:r>
              <w:t xml:space="preserve">board of directors to vote on each </w:t>
            </w:r>
            <w:r>
              <w:t xml:space="preserve">proposed </w:t>
            </w:r>
            <w:r>
              <w:t xml:space="preserve">disciplinary </w:t>
            </w:r>
            <w:r>
              <w:t>rule</w:t>
            </w:r>
            <w:r>
              <w:t xml:space="preserve"> </w:t>
            </w:r>
            <w:r w:rsidRPr="00E14375">
              <w:t xml:space="preserve">recommended by the committee not later than the </w:t>
            </w:r>
            <w:r w:rsidRPr="00E14375">
              <w:t>1</w:t>
            </w:r>
            <w:r>
              <w:t>2</w:t>
            </w:r>
            <w:r w:rsidRPr="00E14375">
              <w:t xml:space="preserve">0th </w:t>
            </w:r>
            <w:r w:rsidRPr="00E14375">
              <w:t>day after</w:t>
            </w:r>
            <w:r w:rsidRPr="00E14375">
              <w:t xml:space="preserve"> the date the rule is received</w:t>
            </w:r>
            <w:r w:rsidRPr="00E14375">
              <w:t xml:space="preserve"> and requires the board to vote for or</w:t>
            </w:r>
            <w:r w:rsidRPr="00E14375">
              <w:t xml:space="preserve"> against</w:t>
            </w:r>
            <w:r w:rsidRPr="00E14375">
              <w:t xml:space="preserve"> the rule</w:t>
            </w:r>
            <w:r w:rsidRPr="00E14375">
              <w:t xml:space="preserve"> or to return the rule to the committee for additional consideration. The bill requires the board to petition the supreme court to order a referendum on a proposed discipl</w:t>
            </w:r>
            <w:r w:rsidRPr="00E14375">
              <w:t xml:space="preserve">inary rule </w:t>
            </w:r>
            <w:r w:rsidRPr="00E14375">
              <w:t>by</w:t>
            </w:r>
            <w:r w:rsidRPr="00E14375">
              <w:t xml:space="preserve"> the state bar</w:t>
            </w:r>
            <w:r w:rsidRPr="00E14375">
              <w:t xml:space="preserve"> members</w:t>
            </w:r>
            <w:r w:rsidRPr="00E14375">
              <w:t xml:space="preserve"> if the rule is approved by a majority of the directors. The bill sets out provisions relating to that</w:t>
            </w:r>
            <w:r w:rsidRPr="00E14375">
              <w:t xml:space="preserve"> referendum vote</w:t>
            </w:r>
            <w:r w:rsidRPr="00E14375">
              <w:t xml:space="preserve"> and</w:t>
            </w:r>
            <w:r w:rsidRPr="00E14375">
              <w:t xml:space="preserve"> provides for the approval or rejection of a proposed rule by the supreme court</w:t>
            </w:r>
            <w:r w:rsidRPr="00E14375">
              <w:t xml:space="preserve">. The bill requires </w:t>
            </w:r>
            <w:r w:rsidRPr="00E14375">
              <w:t>the committee, the board, or the supreme court to provide notice of any deliberation on a proposed disciplinary rule, requires the deliberation to be open to the</w:t>
            </w:r>
            <w:r>
              <w:t xml:space="preserve"> public, and requires the board and the supreme court to record and make public each vote for o</w:t>
            </w:r>
            <w:r>
              <w:t>r against a proposed disciplinary rule</w:t>
            </w:r>
            <w:r>
              <w:t xml:space="preserve">. </w:t>
            </w:r>
            <w:r>
              <w:t>The bill prohibits a proposed disciplinary rule from being adopted by the supreme court unless the rule is approved by the committee, the board, the state bar</w:t>
            </w:r>
            <w:r>
              <w:t xml:space="preserve"> members</w:t>
            </w:r>
            <w:r>
              <w:t>, and the supreme court.</w:t>
            </w:r>
            <w:r>
              <w:t xml:space="preserve"> The bill requires the sup</w:t>
            </w:r>
            <w:r>
              <w:t xml:space="preserve">reme court, the committee, and the state bar to use technological solutions throughout the disciplinary rule proposal process to promote financial efficiency and comments from interested persons. </w:t>
            </w:r>
            <w:r>
              <w:t xml:space="preserve">The bill authorizes the process for initiating </w:t>
            </w:r>
            <w:r>
              <w:t>a</w:t>
            </w:r>
            <w:r>
              <w:t xml:space="preserve"> proposed di</w:t>
            </w:r>
            <w:r>
              <w:t xml:space="preserve">sciplinary rule to be reinitiated if a time limit provided </w:t>
            </w:r>
            <w:r>
              <w:t>by</w:t>
            </w:r>
            <w:r>
              <w:t xml:space="preserve"> the bill expires or a disciplinary rule proposal is otherwise defeated</w:t>
            </w:r>
            <w:r>
              <w:t xml:space="preserve"> and</w:t>
            </w:r>
            <w:r>
              <w:t xml:space="preserve"> authorizes the supreme court</w:t>
            </w:r>
            <w:r>
              <w:t xml:space="preserve"> to grant a petition</w:t>
            </w:r>
            <w:r>
              <w:t xml:space="preserve"> for good cause shown to extend any </w:t>
            </w:r>
            <w:r>
              <w:t xml:space="preserve">such </w:t>
            </w:r>
            <w:r>
              <w:t>time limit until a date that i</w:t>
            </w:r>
            <w:r>
              <w:t xml:space="preserve">s not later than the 90th day after the original deadline. </w:t>
            </w:r>
          </w:p>
          <w:p w:rsidR="007E75E1" w:rsidRDefault="00FB61CD" w:rsidP="00F9070F">
            <w:pPr>
              <w:pStyle w:val="Header"/>
              <w:jc w:val="both"/>
            </w:pPr>
          </w:p>
          <w:p w:rsidR="009E437A" w:rsidRDefault="00FB61CD" w:rsidP="00F9070F">
            <w:pPr>
              <w:pStyle w:val="Header"/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>02</w:t>
            </w:r>
            <w:r>
              <w:t xml:space="preserve"> requires the state </w:t>
            </w:r>
            <w:r w:rsidRPr="002C3743">
              <w:t xml:space="preserve">bar </w:t>
            </w:r>
            <w:r>
              <w:t>to</w:t>
            </w:r>
            <w:r w:rsidRPr="002C3743">
              <w:t xml:space="preserve"> fund one full-time equivalent position of ombudsman for</w:t>
            </w:r>
            <w:r>
              <w:t xml:space="preserve"> the attorney discipline system, provides</w:t>
            </w:r>
            <w:r>
              <w:t xml:space="preserve"> </w:t>
            </w:r>
            <w:r w:rsidRPr="00E14375">
              <w:t>for the selection of the ombudsman</w:t>
            </w:r>
            <w:r w:rsidRPr="00E14375">
              <w:t>, who report</w:t>
            </w:r>
            <w:r w:rsidRPr="00E14375">
              <w:t>s</w:t>
            </w:r>
            <w:r w:rsidRPr="00E14375">
              <w:t xml:space="preserve"> directly to the</w:t>
            </w:r>
            <w:r w:rsidRPr="00E14375">
              <w:t xml:space="preserve"> supreme court</w:t>
            </w:r>
            <w:r w:rsidRPr="00E14375">
              <w:t>,</w:t>
            </w:r>
            <w:r w:rsidRPr="00E14375">
              <w:t xml:space="preserve"> and sets out the ombudsman's powers and duties</w:t>
            </w:r>
            <w:r w:rsidRPr="00E14375">
              <w:t xml:space="preserve">. The bill requires the chief disciplinary counsel, a district grievance committee, the </w:t>
            </w:r>
            <w:r w:rsidRPr="00E14375">
              <w:t xml:space="preserve">state bar's </w:t>
            </w:r>
            <w:r w:rsidRPr="00E14375">
              <w:t>board of directors, the commission, and state bar members to share with the ombudsman requeste</w:t>
            </w:r>
            <w:r w:rsidRPr="00E14375">
              <w:t xml:space="preserve">d information that is necessary to determine whether the state bar followed procedural rules related to a particular grievance or </w:t>
            </w:r>
            <w:r w:rsidRPr="00E14375">
              <w:t xml:space="preserve">to </w:t>
            </w:r>
            <w:r w:rsidRPr="00E14375">
              <w:t>evaluate the system's efficacy and adequacy.</w:t>
            </w:r>
            <w:r w:rsidRPr="00E14375">
              <w:t xml:space="preserve"> </w:t>
            </w:r>
            <w:r w:rsidRPr="00E14375">
              <w:t>The bill provides for</w:t>
            </w:r>
            <w:r>
              <w:t xml:space="preserve"> the confidentiality of all types </w:t>
            </w:r>
            <w:r w:rsidRPr="007E75E1">
              <w:t>of information, proceed</w:t>
            </w:r>
            <w:r w:rsidRPr="007E75E1">
              <w:t>ings, hearing transcripts, and statements presented to the ombudsman</w:t>
            </w:r>
            <w:r>
              <w:t>,</w:t>
            </w:r>
            <w:r>
              <w:t xml:space="preserve"> prohibits their disclosure to any person other than the chief disciplinary counsel unless </w:t>
            </w:r>
            <w:r>
              <w:t xml:space="preserve">disclosure is </w:t>
            </w:r>
            <w:r>
              <w:t>ordered</w:t>
            </w:r>
            <w:r>
              <w:t xml:space="preserve"> by a court</w:t>
            </w:r>
            <w:r>
              <w:t>, and</w:t>
            </w:r>
            <w:r>
              <w:t xml:space="preserve"> prohibits the ombudsman from accessing privileged communic</w:t>
            </w:r>
            <w:r>
              <w:t xml:space="preserve">ations and information shared between the </w:t>
            </w:r>
            <w:r>
              <w:t xml:space="preserve">chief disciplinary </w:t>
            </w:r>
            <w:r>
              <w:t>counsel and the commission.</w:t>
            </w:r>
          </w:p>
          <w:p w:rsidR="00AB1DA8" w:rsidRDefault="00FB61CD" w:rsidP="00F9070F">
            <w:pPr>
              <w:pStyle w:val="Header"/>
              <w:jc w:val="both"/>
            </w:pPr>
          </w:p>
          <w:p w:rsidR="00462E2E" w:rsidRDefault="00FB61CD" w:rsidP="00F9070F">
            <w:pPr>
              <w:pStyle w:val="Header"/>
              <w:jc w:val="both"/>
            </w:pPr>
            <w:r>
              <w:t>S</w:t>
            </w:r>
            <w:r w:rsidRPr="00E14375">
              <w:t xml:space="preserve">.B. </w:t>
            </w:r>
            <w:r>
              <w:t>3</w:t>
            </w:r>
            <w:r w:rsidRPr="00E14375">
              <w:t>02</w:t>
            </w:r>
            <w:r w:rsidRPr="00E14375">
              <w:t>,</w:t>
            </w:r>
            <w:r w:rsidRPr="00E14375">
              <w:t xml:space="preserve"> </w:t>
            </w:r>
            <w:r w:rsidRPr="00E14375">
              <w:t>with respect to the requirement that each online attorney profile created by the state bar contain any public disciplinary</w:t>
            </w:r>
            <w:r>
              <w:t xml:space="preserve"> sanctions issued by th</w:t>
            </w:r>
            <w:r>
              <w:t>e state bar</w:t>
            </w:r>
            <w:r>
              <w:t xml:space="preserve"> against the attorney,</w:t>
            </w:r>
            <w:r>
              <w:t xml:space="preserve"> </w:t>
            </w:r>
            <w:r>
              <w:t>req</w:t>
            </w:r>
            <w:r>
              <w:t>ui</w:t>
            </w:r>
            <w:r>
              <w:t xml:space="preserve">res the inclusion of </w:t>
            </w:r>
            <w:r w:rsidRPr="00B61BA5">
              <w:t>a link on the profile to the full text of the disciplinary judgment entered by a district grievance committee or district judge</w:t>
            </w:r>
            <w:r>
              <w:t xml:space="preserve"> and</w:t>
            </w:r>
            <w:r>
              <w:t xml:space="preserve"> removes the </w:t>
            </w:r>
            <w:r>
              <w:t>condition limiting the</w:t>
            </w:r>
            <w:r>
              <w:t xml:space="preserve"> </w:t>
            </w:r>
            <w:r>
              <w:t xml:space="preserve">inclusion </w:t>
            </w:r>
            <w:r>
              <w:t xml:space="preserve">in the profile </w:t>
            </w:r>
            <w:r>
              <w:t xml:space="preserve">of </w:t>
            </w:r>
            <w:r>
              <w:t xml:space="preserve">any public </w:t>
            </w:r>
            <w:r w:rsidRPr="00B61BA5">
              <w:t>d</w:t>
            </w:r>
            <w:r w:rsidRPr="00B61BA5">
              <w:t xml:space="preserve">isciplinary sanctions </w:t>
            </w:r>
            <w:r>
              <w:t xml:space="preserve">to those </w:t>
            </w:r>
            <w:r w:rsidRPr="00B61BA5">
              <w:t>issued during at least the 10-year period preceding the date of the profile</w:t>
            </w:r>
            <w:r>
              <w:t xml:space="preserve">. </w:t>
            </w:r>
            <w:r>
              <w:t xml:space="preserve">The bill removes an identical condition </w:t>
            </w:r>
            <w:r>
              <w:t>from</w:t>
            </w:r>
            <w:r>
              <w:t xml:space="preserve"> </w:t>
            </w:r>
            <w:r>
              <w:t xml:space="preserve">required </w:t>
            </w:r>
            <w:r>
              <w:t>inclusion in each online attorney profile of any public disciplinary sanctions issued by an en</w:t>
            </w:r>
            <w:r>
              <w:t xml:space="preserve">tity in another state responsible for attorney discipline in that state against the attorney. </w:t>
            </w:r>
            <w:r w:rsidRPr="001D3937">
              <w:t xml:space="preserve">The </w:t>
            </w:r>
            <w:r>
              <w:t>bill requires the state b</w:t>
            </w:r>
            <w:r w:rsidRPr="001D3937">
              <w:t xml:space="preserve">ar </w:t>
            </w:r>
            <w:r>
              <w:t>to</w:t>
            </w:r>
            <w:r w:rsidRPr="001D3937">
              <w:t xml:space="preserve"> include on attorneys' online profiles any historical information on public disciplinary sanctions as is practicable.</w:t>
            </w:r>
            <w:r>
              <w:t xml:space="preserve"> </w:t>
            </w:r>
          </w:p>
          <w:p w:rsidR="00462E2E" w:rsidRDefault="00FB61CD" w:rsidP="00F9070F">
            <w:pPr>
              <w:pStyle w:val="Header"/>
              <w:jc w:val="both"/>
            </w:pPr>
          </w:p>
          <w:p w:rsidR="00F87B88" w:rsidRDefault="00FB61CD" w:rsidP="00F9070F">
            <w:pPr>
              <w:pStyle w:val="Header"/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>02</w:t>
            </w:r>
            <w:r>
              <w:t xml:space="preserve"> entitles the state bar </w:t>
            </w:r>
            <w:r>
              <w:t xml:space="preserve">to obtain </w:t>
            </w:r>
            <w:r>
              <w:t xml:space="preserve">from </w:t>
            </w:r>
            <w:r>
              <w:t>DPS</w:t>
            </w:r>
            <w:r>
              <w:t xml:space="preserve"> criminal history record information maintained by </w:t>
            </w:r>
            <w:r>
              <w:t>DPS</w:t>
            </w:r>
            <w:r>
              <w:t xml:space="preserve"> that relates to a person w</w:t>
            </w:r>
            <w:r>
              <w:t>ho is a state bar</w:t>
            </w:r>
            <w:r>
              <w:t xml:space="preserve"> </w:t>
            </w:r>
            <w:r>
              <w:t xml:space="preserve">member </w:t>
            </w:r>
            <w:r>
              <w:t>or</w:t>
            </w:r>
            <w:r>
              <w:t xml:space="preserve"> </w:t>
            </w:r>
            <w:r>
              <w:t>to obtain criminal history record</w:t>
            </w:r>
            <w:r>
              <w:t xml:space="preserve"> information </w:t>
            </w:r>
            <w:r>
              <w:t>from the Board of Law Examiners</w:t>
            </w:r>
            <w:r>
              <w:t>,</w:t>
            </w:r>
            <w:r>
              <w:t xml:space="preserve"> </w:t>
            </w:r>
            <w:r>
              <w:t>as obtained from DPS, that</w:t>
            </w:r>
            <w:r>
              <w:t xml:space="preserve"> relates to a person who is an applicant to take a bar examination</w:t>
            </w:r>
            <w:r>
              <w:t xml:space="preserve">. </w:t>
            </w:r>
            <w:r>
              <w:t>The bill prohibits the release or disclosure of such information, except on court order or with consent</w:t>
            </w:r>
            <w:r>
              <w:t xml:space="preserve"> of an applicant to take a bar examination</w:t>
            </w:r>
            <w:r>
              <w:t xml:space="preserve">. </w:t>
            </w:r>
            <w:r>
              <w:t xml:space="preserve">The bill </w:t>
            </w:r>
            <w:r>
              <w:t xml:space="preserve">replaces the requirement that </w:t>
            </w:r>
            <w:r>
              <w:t>th</w:t>
            </w:r>
            <w:r>
              <w:t xml:space="preserve">e Board of Law Examiners </w:t>
            </w:r>
            <w:r>
              <w:t xml:space="preserve">seal </w:t>
            </w:r>
            <w:r w:rsidRPr="0080361F">
              <w:t xml:space="preserve">all criminal history record information obtained by </w:t>
            </w:r>
            <w:r>
              <w:t xml:space="preserve">that board </w:t>
            </w:r>
            <w:r>
              <w:t xml:space="preserve">that relates to </w:t>
            </w:r>
            <w:r>
              <w:t>such an</w:t>
            </w:r>
            <w:r>
              <w:t xml:space="preserve"> applicant i</w:t>
            </w:r>
            <w:r w:rsidRPr="00C60755">
              <w:t xml:space="preserve">mmediately following the decision on recommending </w:t>
            </w:r>
            <w:r>
              <w:t>the</w:t>
            </w:r>
            <w:r w:rsidRPr="00C60755">
              <w:t xml:space="preserve"> applicant</w:t>
            </w:r>
            <w:r>
              <w:t xml:space="preserve"> </w:t>
            </w:r>
            <w:r>
              <w:t xml:space="preserve">with a requirement that </w:t>
            </w:r>
            <w:r>
              <w:t>the board</w:t>
            </w:r>
            <w:r>
              <w:t xml:space="preserve"> </w:t>
            </w:r>
            <w:r>
              <w:t>make that information accessib</w:t>
            </w:r>
            <w:r>
              <w:t>le to the state bar</w:t>
            </w:r>
            <w:r>
              <w:t>.</w:t>
            </w:r>
            <w:r>
              <w:t xml:space="preserve"> </w:t>
            </w:r>
            <w:r>
              <w:t xml:space="preserve">The bill </w:t>
            </w:r>
            <w:r>
              <w:t>revises</w:t>
            </w:r>
            <w:r>
              <w:t xml:space="preserve"> the </w:t>
            </w:r>
            <w:r>
              <w:t xml:space="preserve">provision </w:t>
            </w:r>
            <w:r>
              <w:t>entitl</w:t>
            </w:r>
            <w:r>
              <w:t>ing</w:t>
            </w:r>
            <w:r>
              <w:t xml:space="preserve"> the state bar's</w:t>
            </w:r>
            <w:r>
              <w:t xml:space="preserve"> </w:t>
            </w:r>
            <w:r>
              <w:t>general</w:t>
            </w:r>
            <w:r>
              <w:t xml:space="preserve"> counsel to obtain from DPS</w:t>
            </w:r>
            <w:r>
              <w:t xml:space="preserve"> </w:t>
            </w:r>
            <w:r>
              <w:t xml:space="preserve">criminal history record information maintained by DPS that relates to a person </w:t>
            </w:r>
            <w:r>
              <w:t xml:space="preserve">who is </w:t>
            </w:r>
            <w:r>
              <w:t xml:space="preserve">licensed by the state bar </w:t>
            </w:r>
            <w:r>
              <w:t xml:space="preserve">and who is </w:t>
            </w:r>
            <w:r>
              <w:t>the subject of or in</w:t>
            </w:r>
            <w:r>
              <w:t>volved in an investigation of certain professional misconduct or of certain Penal Code offenses</w:t>
            </w:r>
            <w:r>
              <w:t xml:space="preserve"> </w:t>
            </w:r>
            <w:r>
              <w:t>by</w:t>
            </w:r>
            <w:r>
              <w:t xml:space="preserve"> </w:t>
            </w:r>
            <w:r>
              <w:t xml:space="preserve">instead </w:t>
            </w:r>
            <w:r>
              <w:t xml:space="preserve">entitling </w:t>
            </w:r>
            <w:r>
              <w:t xml:space="preserve">the </w:t>
            </w:r>
            <w:r>
              <w:t>chief disciplinary</w:t>
            </w:r>
            <w:r>
              <w:t xml:space="preserve"> counsel to </w:t>
            </w:r>
            <w:r>
              <w:t xml:space="preserve">obtain the </w:t>
            </w:r>
            <w:r>
              <w:t>information that relates to such a person meeting either condition</w:t>
            </w:r>
            <w:r>
              <w:t>.</w:t>
            </w:r>
          </w:p>
          <w:p w:rsidR="00F87B88" w:rsidRDefault="00FB61CD" w:rsidP="00F9070F">
            <w:pPr>
              <w:pStyle w:val="Header"/>
              <w:jc w:val="both"/>
            </w:pPr>
          </w:p>
          <w:p w:rsidR="00837C37" w:rsidRDefault="00FB61CD" w:rsidP="00F9070F">
            <w:pPr>
              <w:pStyle w:val="Header"/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>02 repeals provisio</w:t>
            </w:r>
            <w:r>
              <w:t xml:space="preserve">ns </w:t>
            </w:r>
            <w:r>
              <w:t xml:space="preserve">relating to </w:t>
            </w:r>
            <w:r>
              <w:t xml:space="preserve">the </w:t>
            </w:r>
            <w:r>
              <w:t xml:space="preserve">supreme </w:t>
            </w:r>
            <w:r>
              <w:t>court</w:t>
            </w:r>
            <w:r>
              <w:t>'s</w:t>
            </w:r>
            <w:r>
              <w:t xml:space="preserve"> distribut</w:t>
            </w:r>
            <w:r>
              <w:t xml:space="preserve">ion </w:t>
            </w:r>
            <w:r>
              <w:t xml:space="preserve">of ballots relating to proposed state bar rules or amendments to those rules to registered members of the bar for a vote, the counting of any such votes, </w:t>
            </w:r>
            <w:r>
              <w:t>and promulgation of</w:t>
            </w:r>
            <w:r>
              <w:t xml:space="preserve"> proposed </w:t>
            </w:r>
            <w:r>
              <w:t xml:space="preserve">state bar </w:t>
            </w:r>
            <w:r>
              <w:t>rule</w:t>
            </w:r>
            <w:r>
              <w:t>s</w:t>
            </w:r>
            <w:r>
              <w:t xml:space="preserve"> or </w:t>
            </w:r>
            <w:r>
              <w:t>amendment</w:t>
            </w:r>
            <w:r>
              <w:t xml:space="preserve">s to </w:t>
            </w:r>
            <w:r>
              <w:t xml:space="preserve">those </w:t>
            </w:r>
            <w:r>
              <w:t>rules</w:t>
            </w:r>
            <w:r>
              <w:t>,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 xml:space="preserve">provisions </w:t>
            </w:r>
            <w:r>
              <w:t>requir</w:t>
            </w:r>
            <w:r>
              <w:t>ing</w:t>
            </w:r>
            <w:r>
              <w:t xml:space="preserve"> the state bar to</w:t>
            </w:r>
            <w:r w:rsidRPr="00D14143">
              <w:t xml:space="preserve"> destroy criminal history record </w:t>
            </w:r>
            <w:r>
              <w:t xml:space="preserve">information obtained by the state bar from DPS </w:t>
            </w:r>
            <w:r w:rsidRPr="00D14143">
              <w:t>promptly after a final determination is made in the matter for which the information was obtained.</w:t>
            </w:r>
          </w:p>
          <w:p w:rsidR="00837C37" w:rsidRDefault="00FB61CD" w:rsidP="00F9070F">
            <w:pPr>
              <w:pStyle w:val="Header"/>
              <w:jc w:val="both"/>
            </w:pPr>
          </w:p>
          <w:p w:rsidR="00EA04FD" w:rsidRDefault="00FB61CD" w:rsidP="00F9070F">
            <w:pPr>
              <w:pStyle w:val="Header"/>
              <w:jc w:val="both"/>
            </w:pPr>
            <w:r>
              <w:t>S</w:t>
            </w:r>
            <w:r>
              <w:t xml:space="preserve">.B. </w:t>
            </w:r>
            <w:r>
              <w:t>3</w:t>
            </w:r>
            <w:r>
              <w:t>02</w:t>
            </w:r>
            <w:r>
              <w:t xml:space="preserve"> repeals the following provisions of the Government Code:</w:t>
            </w:r>
          </w:p>
          <w:p w:rsidR="00837C37" w:rsidRDefault="00FB61CD" w:rsidP="00F9070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</w:pPr>
            <w:r>
              <w:t>Sections 81.024(c), (d), (e), (f), and (g)</w:t>
            </w:r>
          </w:p>
          <w:p w:rsidR="00A82E31" w:rsidRDefault="00FB61CD" w:rsidP="00F9070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</w:pPr>
            <w:r>
              <w:t>Section 411.1005(c)</w:t>
            </w:r>
          </w:p>
          <w:p w:rsidR="00F70491" w:rsidRPr="00D525CC" w:rsidRDefault="00FB61CD" w:rsidP="00F70491">
            <w:pPr>
              <w:pStyle w:val="Header"/>
              <w:spacing w:before="120" w:after="120"/>
              <w:jc w:val="both"/>
            </w:pPr>
          </w:p>
        </w:tc>
      </w:tr>
      <w:tr w:rsidR="00D97EB8" w:rsidTr="00345119">
        <w:tc>
          <w:tcPr>
            <w:tcW w:w="9576" w:type="dxa"/>
          </w:tcPr>
          <w:p w:rsidR="008423E4" w:rsidRPr="00A8133F" w:rsidRDefault="00FB61CD" w:rsidP="00F70491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FB61CD" w:rsidP="00F70491"/>
          <w:p w:rsidR="008423E4" w:rsidRDefault="00FB61CD" w:rsidP="00F7049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DA13B7" w:rsidRPr="0003519D" w:rsidRDefault="00FB61CD" w:rsidP="00F7049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</w:tbl>
    <w:p w:rsidR="008423E4" w:rsidRPr="00BE0E75" w:rsidRDefault="00FB61CD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B61CD" w:rsidP="008423E4"/>
    <w:sectPr w:rsidR="004108C3" w:rsidRPr="008423E4" w:rsidSect="006D504F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61CD">
      <w:r>
        <w:separator/>
      </w:r>
    </w:p>
  </w:endnote>
  <w:endnote w:type="continuationSeparator" w:id="0">
    <w:p w:rsidR="00000000" w:rsidRDefault="00FB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97EB8" w:rsidTr="009C1E9A">
      <w:trPr>
        <w:cantSplit/>
      </w:trPr>
      <w:tc>
        <w:tcPr>
          <w:tcW w:w="0" w:type="pct"/>
        </w:tcPr>
        <w:p w:rsidR="00137D90" w:rsidRDefault="00FB61C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A4310" w:rsidRDefault="00FB61C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B61C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B61C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97EB8" w:rsidTr="009C1E9A">
      <w:trPr>
        <w:cantSplit/>
      </w:trPr>
      <w:tc>
        <w:tcPr>
          <w:tcW w:w="0" w:type="pct"/>
        </w:tcPr>
        <w:p w:rsidR="00EC379B" w:rsidRDefault="00FB61C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B61C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26635</w:t>
          </w:r>
        </w:p>
      </w:tc>
      <w:tc>
        <w:tcPr>
          <w:tcW w:w="2453" w:type="pct"/>
        </w:tcPr>
        <w:p w:rsidR="00EC379B" w:rsidRDefault="00FB61C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17.117.751</w:t>
          </w:r>
          <w:r>
            <w:fldChar w:fldCharType="end"/>
          </w:r>
        </w:p>
      </w:tc>
    </w:tr>
    <w:tr w:rsidR="00D97EB8" w:rsidTr="009C1E9A">
      <w:trPr>
        <w:cantSplit/>
      </w:trPr>
      <w:tc>
        <w:tcPr>
          <w:tcW w:w="0" w:type="pct"/>
        </w:tcPr>
        <w:p w:rsidR="00EC379B" w:rsidRDefault="00FB61C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B61C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FB61CD" w:rsidP="006D504F">
          <w:pPr>
            <w:pStyle w:val="Footer"/>
            <w:rPr>
              <w:rStyle w:val="PageNumber"/>
            </w:rPr>
          </w:pPr>
        </w:p>
        <w:p w:rsidR="00EC379B" w:rsidRDefault="00FB61C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97EB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B61C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B61CD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B61CD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61CD">
      <w:r>
        <w:separator/>
      </w:r>
    </w:p>
  </w:footnote>
  <w:footnote w:type="continuationSeparator" w:id="0">
    <w:p w:rsidR="00000000" w:rsidRDefault="00FB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15E1"/>
    <w:multiLevelType w:val="hybridMultilevel"/>
    <w:tmpl w:val="2152A470"/>
    <w:lvl w:ilvl="0" w:tplc="1904F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6A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0D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EE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45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A2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CB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A3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85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C12C4"/>
    <w:multiLevelType w:val="hybridMultilevel"/>
    <w:tmpl w:val="483822FA"/>
    <w:lvl w:ilvl="0" w:tplc="89D2A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1A2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6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AB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EA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6B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C0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2E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29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B8"/>
    <w:rsid w:val="00D97EB8"/>
    <w:rsid w:val="00FB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95C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C3A"/>
  </w:style>
  <w:style w:type="paragraph" w:styleId="CommentSubject">
    <w:name w:val="annotation subject"/>
    <w:basedOn w:val="CommentText"/>
    <w:next w:val="CommentText"/>
    <w:link w:val="CommentSubjectChar"/>
    <w:rsid w:val="0099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C3A"/>
    <w:rPr>
      <w:b/>
      <w:bCs/>
    </w:rPr>
  </w:style>
  <w:style w:type="character" w:styleId="Hyperlink">
    <w:name w:val="Hyperlink"/>
    <w:basedOn w:val="DefaultParagraphFont"/>
    <w:rsid w:val="00463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95C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C3A"/>
  </w:style>
  <w:style w:type="paragraph" w:styleId="CommentSubject">
    <w:name w:val="annotation subject"/>
    <w:basedOn w:val="CommentText"/>
    <w:next w:val="CommentText"/>
    <w:link w:val="CommentSubjectChar"/>
    <w:rsid w:val="0099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C3A"/>
    <w:rPr>
      <w:b/>
      <w:bCs/>
    </w:rPr>
  </w:style>
  <w:style w:type="character" w:styleId="Hyperlink">
    <w:name w:val="Hyperlink"/>
    <w:basedOn w:val="DefaultParagraphFont"/>
    <w:rsid w:val="00463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2868</Words>
  <Characters>15201</Characters>
  <Application>Microsoft Office Word</Application>
  <DocSecurity>4</DocSecurity>
  <Lines>241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SB00302 (Committee Report (Unamended))</vt:lpstr>
    </vt:vector>
  </TitlesOfParts>
  <Company>State of Texas</Company>
  <LinksUpToDate>false</LinksUpToDate>
  <CharactersWithSpaces>18047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26635</dc:subject>
  <dc:creator>State of Texas</dc:creator>
  <dc:description>SB 302 by Watson-(H)Judiciary &amp; Civil Jurisprudence</dc:description>
  <cp:lastModifiedBy>Molly Hoffman-Bricker</cp:lastModifiedBy>
  <cp:revision>2</cp:revision>
  <cp:lastPrinted>2017-04-28T15:01:00Z</cp:lastPrinted>
  <dcterms:created xsi:type="dcterms:W3CDTF">2017-05-05T23:33:00Z</dcterms:created>
  <dcterms:modified xsi:type="dcterms:W3CDTF">2017-05-05T23:33:00Z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17.117.751</vt:lpwstr>
  </property>
</Properties>
</file>