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0" w:type="pct"/>
        <w:tblInd w:w="6" w:type="dxa"/>
        <w:tblLayout w:type="fixed"/>
        <w:tblCellMar>
          <w:left w:w="0" w:type="dxa"/>
          <w:bottom w:w="288" w:type="dxa"/>
          <w:right w:w="720" w:type="dxa"/>
        </w:tblCellMar>
        <w:tblLook w:val="01E0"/>
      </w:tblPr>
      <w:tblGrid>
        <w:gridCol w:w="6248"/>
        <w:gridCol w:w="6248"/>
        <w:gridCol w:w="6244"/>
      </w:tblGrid>
      <w:tr w:rsidR="00A7540D" w:rsidTr="00A7540D">
        <w:trPr>
          <w:cantSplit/>
          <w:tblHeader/>
        </w:trPr>
        <w:tc>
          <w:tcPr>
            <w:tcW w:w="18713" w:type="dxa"/>
            <w:gridSpan w:val="3"/>
          </w:tcPr>
          <w:p w:rsidR="004F04BD" w:rsidRDefault="001069A6">
            <w:pPr>
              <w:ind w:left="650"/>
              <w:jc w:val="center"/>
            </w:pPr>
            <w:r>
              <w:rPr>
                <w:b/>
              </w:rPr>
              <w:t xml:space="preserve">House </w:t>
            </w:r>
            <w:smartTag w:uri="urn:schemas:contacts" w:element="GivenName">
              <w:r>
                <w:rPr>
                  <w:b/>
                </w:rPr>
                <w:t>Bill</w:t>
              </w:r>
            </w:smartTag>
            <w:r>
              <w:rPr>
                <w:b/>
              </w:rPr>
              <w:t xml:space="preserve">  1244</w:t>
            </w:r>
          </w:p>
          <w:p w:rsidR="004F04BD" w:rsidRDefault="001069A6">
            <w:pPr>
              <w:ind w:left="650"/>
              <w:jc w:val="center"/>
            </w:pPr>
            <w:r>
              <w:t>Senate Amendments</w:t>
            </w:r>
          </w:p>
          <w:p w:rsidR="004F04BD" w:rsidRDefault="001069A6">
            <w:pPr>
              <w:ind w:left="650"/>
              <w:jc w:val="center"/>
            </w:pPr>
            <w:r>
              <w:t>Section-by-Section Analysis</w:t>
            </w:r>
          </w:p>
          <w:p w:rsidR="004F04BD" w:rsidRDefault="004F04BD">
            <w:pPr>
              <w:jc w:val="center"/>
            </w:pPr>
          </w:p>
        </w:tc>
      </w:tr>
      <w:tr w:rsidR="004F04BD">
        <w:trPr>
          <w:cantSplit/>
          <w:tblHeader/>
        </w:trPr>
        <w:tc>
          <w:tcPr>
            <w:tcW w:w="1667" w:type="pct"/>
            <w:tcMar>
              <w:bottom w:w="188" w:type="dxa"/>
              <w:right w:w="0" w:type="dxa"/>
            </w:tcMar>
          </w:tcPr>
          <w:p w:rsidR="004F04BD" w:rsidRDefault="001069A6">
            <w:pPr>
              <w:jc w:val="center"/>
            </w:pPr>
            <w:r>
              <w:t>HOUSE VERSION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4F04BD" w:rsidRDefault="001069A6">
            <w:pPr>
              <w:jc w:val="center"/>
            </w:pPr>
            <w:r>
              <w:t>SENATE VERSION (IE)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4F04BD" w:rsidRDefault="001069A6">
            <w:pPr>
              <w:jc w:val="center"/>
            </w:pPr>
            <w:r>
              <w:t>CONFERENCE</w:t>
            </w:r>
          </w:p>
        </w:tc>
      </w:tr>
      <w:tr w:rsidR="004F04BD">
        <w:tc>
          <w:tcPr>
            <w:tcW w:w="6473" w:type="dxa"/>
          </w:tcPr>
          <w:p w:rsidR="004F04BD" w:rsidRDefault="001069A6">
            <w:pPr>
              <w:jc w:val="both"/>
            </w:pPr>
            <w:r>
              <w:t>SECTION 1.  Section 51.3062, Education Code, is amended by amending Subsections (f) and (i) and adding Subsections (a-1), (i-2), (i-3), and (i-4) to read as follows: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(a-1)  In this section, "program evaluation" means a systematic method of collecting, analyzing, and using information to answer questions about developmental education courses, interventions, and policies, particularly about their effectiveness and cost-efficiency.</w:t>
            </w:r>
          </w:p>
          <w:p w:rsidR="004F04BD" w:rsidRDefault="001069A6">
            <w:pPr>
              <w:jc w:val="both"/>
            </w:pPr>
            <w:r>
              <w:t xml:space="preserve">(f)  Each assessment instrument designated by the board for use under this section must be diagnostic in nature and designed to assess a student's readiness to perform freshman-level academic coursework.  The board shall prescribe </w:t>
            </w:r>
            <w:r>
              <w:rPr>
                <w:u w:val="single"/>
              </w:rPr>
              <w:t>a single standard or set of</w:t>
            </w:r>
            <w:r>
              <w:t xml:space="preserve"> standards </w:t>
            </w:r>
            <w:r>
              <w:rPr>
                <w:u w:val="single"/>
              </w:rPr>
              <w:t>to effectively measure student readiness as demonstrated by current research</w:t>
            </w:r>
            <w:r>
              <w:t xml:space="preserve"> for </w:t>
            </w:r>
            <w:r>
              <w:rPr>
                <w:u w:val="single"/>
              </w:rPr>
              <w:t>each</w:t>
            </w:r>
            <w:r>
              <w:t xml:space="preserve"> [</w:t>
            </w:r>
            <w:r>
              <w:rPr>
                <w:strike/>
              </w:rPr>
              <w:t>the</w:t>
            </w:r>
            <w:r>
              <w:t>] assessment instrument [</w:t>
            </w:r>
            <w:r>
              <w:rPr>
                <w:strike/>
              </w:rPr>
              <w:t>or instruments that reflect that student readiness.  An institution of higher education may adopt more stringent assessment standards with respect to student readiness</w:t>
            </w:r>
            <w:r>
              <w:t>].</w:t>
            </w:r>
          </w:p>
          <w:p w:rsidR="004F04BD" w:rsidRDefault="001069A6">
            <w:pPr>
              <w:jc w:val="both"/>
            </w:pPr>
            <w:r>
              <w:t xml:space="preserve">(i)  The institution of higher education may refer a student to developmental coursework as considered necessary by the institution to address a student's deficiencies in the student's readiness to perform freshman-level academic coursework, except that the institution may not require enrollment in developmental coursework with respect to a student previously determined by any institution of higher education to have met college-readiness standards.  </w:t>
            </w:r>
            <w:r>
              <w:rPr>
                <w:u w:val="single"/>
              </w:rPr>
              <w:t xml:space="preserve">An institution </w:t>
            </w:r>
            <w:r w:rsidRPr="00A7540D">
              <w:rPr>
                <w:highlight w:val="yellow"/>
                <w:u w:val="single"/>
              </w:rPr>
              <w:t>of higher education</w:t>
            </w:r>
            <w:r>
              <w:rPr>
                <w:u w:val="single"/>
              </w:rPr>
              <w:t xml:space="preserve"> that requires a student to enroll in developmental coursework must offer a range of developmental coursework or instructional support that includes the integration of technology to efficiently address the particular developmental needs of the student.</w:t>
            </w:r>
          </w:p>
          <w:p w:rsidR="00A7540D" w:rsidRDefault="00A7540D">
            <w:pPr>
              <w:jc w:val="both"/>
              <w:rPr>
                <w:u w:val="single"/>
              </w:rPr>
            </w:pPr>
          </w:p>
          <w:p w:rsidR="004F04BD" w:rsidRDefault="001069A6">
            <w:pPr>
              <w:jc w:val="both"/>
            </w:pPr>
            <w:r>
              <w:rPr>
                <w:u w:val="single"/>
              </w:rPr>
              <w:lastRenderedPageBreak/>
              <w:t>(i-2)  An institution of higher education must base developmental coursework on research-based best practices that include the following components: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(1)  assessment;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(2)  differentiated placement and instruction;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(3)  faculty development;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(4)  support services;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(5)  program evaluation;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(6)  integration of technology with an emphasis on instructional support programs;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(7)  non-course-based developmental education interventions; and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(8)  course pairing of developmental education courses with credit-bearing courses.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 xml:space="preserve">(i-3)  The board shall, </w:t>
            </w:r>
            <w:r w:rsidRPr="00A7540D">
              <w:rPr>
                <w:highlight w:val="yellow"/>
                <w:u w:val="single"/>
              </w:rPr>
              <w:t>in consultation with institutions of higher education</w:t>
            </w:r>
            <w:r>
              <w:rPr>
                <w:u w:val="single"/>
              </w:rPr>
              <w:t>, adopt rules for the implementation of Subsection (i-2).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 xml:space="preserve">(i-4)  </w:t>
            </w:r>
            <w:r w:rsidRPr="00A7540D">
              <w:rPr>
                <w:highlight w:val="yellow"/>
                <w:u w:val="single"/>
              </w:rPr>
              <w:t>An institution of higher education must</w:t>
            </w:r>
            <w:r>
              <w:rPr>
                <w:u w:val="single"/>
              </w:rPr>
              <w:t xml:space="preserve"> provide professional development programs, including instruction in differentiated instruction methods designed to address students' diverse learning needs, to faculty and staff who provide developmental coursework to students.</w:t>
            </w:r>
          </w:p>
          <w:p w:rsidR="004F04BD" w:rsidRDefault="004F04BD">
            <w:pPr>
              <w:jc w:val="both"/>
            </w:pPr>
          </w:p>
        </w:tc>
        <w:tc>
          <w:tcPr>
            <w:tcW w:w="6480" w:type="dxa"/>
          </w:tcPr>
          <w:p w:rsidR="004F04BD" w:rsidRDefault="001069A6">
            <w:pPr>
              <w:jc w:val="both"/>
            </w:pPr>
            <w:r>
              <w:lastRenderedPageBreak/>
              <w:t>SECTION __.  Section 51.3062, Education Code, is amended by adding Subsections (a-1), (i-2), (i-3), and (i-4) and amending Subsections (f), (i), and (k) to read as follows: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(a-1)  In this section, "program evaluation" means a systematic method of collecting, analyzing, and using information to answer questions about developmental education courses, interventions, and policies, particularly about their effectiveness and cost-efficiency.</w:t>
            </w:r>
          </w:p>
          <w:p w:rsidR="004F04BD" w:rsidRDefault="001069A6">
            <w:pPr>
              <w:jc w:val="both"/>
            </w:pPr>
            <w:r>
              <w:t xml:space="preserve">(f)  Each assessment instrument designated by the board for use under this section must be diagnostic in nature and designed to assess a student's readiness to perform freshman-level academic coursework.  The board shall prescribe </w:t>
            </w:r>
            <w:r>
              <w:rPr>
                <w:u w:val="single"/>
              </w:rPr>
              <w:t>a single standard or set of</w:t>
            </w:r>
            <w:r>
              <w:t xml:space="preserve"> standards for </w:t>
            </w:r>
            <w:r>
              <w:rPr>
                <w:u w:val="single"/>
              </w:rPr>
              <w:t>each</w:t>
            </w:r>
            <w:r>
              <w:t xml:space="preserve"> [</w:t>
            </w:r>
            <w:r>
              <w:rPr>
                <w:strike/>
              </w:rPr>
              <w:t>the</w:t>
            </w:r>
            <w:r>
              <w:t xml:space="preserve">] assessment instrument </w:t>
            </w:r>
            <w:r>
              <w:rPr>
                <w:u w:val="single"/>
              </w:rPr>
              <w:t>to effectively measure student readiness as demonstrated by current research</w:t>
            </w:r>
            <w:r>
              <w:t xml:space="preserve"> [</w:t>
            </w:r>
            <w:r>
              <w:rPr>
                <w:strike/>
              </w:rPr>
              <w:t>or instruments that reflect that student readiness.  An institution of higher education may adopt more stringent assessment standards with respect to student readiness</w:t>
            </w:r>
            <w:r>
              <w:t>].</w:t>
            </w:r>
          </w:p>
          <w:p w:rsidR="004F04BD" w:rsidRDefault="001069A6">
            <w:pPr>
              <w:jc w:val="both"/>
            </w:pPr>
            <w:r>
              <w:t xml:space="preserve">(i)  The institution of higher education may refer a student to developmental coursework as considered necessary by the institution to address a student's deficiencies in the student's readiness to perform freshman-level academic coursework, except that the institution may not require enrollment in developmental coursework with respect to a student previously determined </w:t>
            </w:r>
            <w:r w:rsidRPr="00A7540D">
              <w:rPr>
                <w:highlight w:val="yellow"/>
                <w:u w:val="single"/>
              </w:rPr>
              <w:t>under Subsection (q-1) or determined</w:t>
            </w:r>
            <w:r>
              <w:t xml:space="preserve"> by any institution of higher education to have met college-readiness standards.  </w:t>
            </w:r>
            <w:r>
              <w:rPr>
                <w:u w:val="single"/>
              </w:rPr>
              <w:t xml:space="preserve">An institution that requires a student to enroll in developmental coursework must offer a range of developmental coursework, </w:t>
            </w:r>
            <w:r w:rsidRPr="00A7540D">
              <w:rPr>
                <w:highlight w:val="yellow"/>
                <w:u w:val="single"/>
              </w:rPr>
              <w:t>including online coursework</w:t>
            </w:r>
            <w:r>
              <w:rPr>
                <w:u w:val="single"/>
              </w:rPr>
              <w:t>, or instructional support that includes the integration of technology to efficiently address the particular developmental needs of the student.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lastRenderedPageBreak/>
              <w:t>(i-2)  An institution of higher education must base developmental coursework on research-based best practices that include the following components: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(1)  assessment;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(2)  differentiated placement and instruction;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(3)  faculty development;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(4)  support services;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(5)  program evaluation;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(6)  integration of technology with an emphasis on instructional support programs;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(7)  non-course-based developmental education interventions; and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(8)  course pairing of developmental education courses with credit-bearing courses.</w:t>
            </w:r>
          </w:p>
          <w:p w:rsidR="004F04BD" w:rsidRDefault="001069A6">
            <w:pPr>
              <w:jc w:val="both"/>
            </w:pPr>
            <w:r>
              <w:rPr>
                <w:u w:val="single"/>
              </w:rPr>
              <w:t>(i-3)  The board shall adopt rules for the implementation of Subsection (i-2).</w:t>
            </w:r>
          </w:p>
          <w:p w:rsidR="00A7540D" w:rsidRDefault="00A7540D">
            <w:pPr>
              <w:jc w:val="both"/>
              <w:rPr>
                <w:u w:val="single"/>
              </w:rPr>
            </w:pPr>
          </w:p>
          <w:p w:rsidR="004F04BD" w:rsidRDefault="001069A6">
            <w:pPr>
              <w:jc w:val="both"/>
            </w:pPr>
            <w:r>
              <w:rPr>
                <w:u w:val="single"/>
              </w:rPr>
              <w:t xml:space="preserve">(i-4)  </w:t>
            </w:r>
            <w:r w:rsidRPr="00A7540D">
              <w:rPr>
                <w:highlight w:val="yellow"/>
                <w:u w:val="single"/>
              </w:rPr>
              <w:t xml:space="preserve">The board, in consultation with institutions of higher education, </w:t>
            </w:r>
            <w:r w:rsidRPr="004F2143">
              <w:rPr>
                <w:highlight w:val="yellow"/>
                <w:u w:val="single"/>
              </w:rPr>
              <w:t>shall develop</w:t>
            </w:r>
            <w:r>
              <w:rPr>
                <w:u w:val="single"/>
              </w:rPr>
              <w:t xml:space="preserve"> and provide professional development programs, including instruction in differentiated instruction methods designed to address students' diverse learning needs, to faculty and staff who provide developmental coursework to students.</w:t>
            </w:r>
          </w:p>
          <w:p w:rsidR="004F04BD" w:rsidRPr="00A7540D" w:rsidRDefault="001069A6">
            <w:pPr>
              <w:jc w:val="both"/>
              <w:rPr>
                <w:highlight w:val="yellow"/>
              </w:rPr>
            </w:pPr>
            <w:r w:rsidRPr="00A7540D">
              <w:rPr>
                <w:highlight w:val="yellow"/>
              </w:rPr>
              <w:t xml:space="preserve">(k)  An institution of higher education shall determine when a student is ready to perform freshman-level academic coursework.  The institution must make its determination </w:t>
            </w:r>
            <w:r w:rsidRPr="00A7540D">
              <w:rPr>
                <w:highlight w:val="yellow"/>
                <w:u w:val="single"/>
              </w:rPr>
              <w:t>using learning outcomes for developmental education courses developed by the board based on established college and career readiness standards and student performance on one or more appropriate assessments</w:t>
            </w:r>
            <w:r w:rsidRPr="00A7540D">
              <w:rPr>
                <w:highlight w:val="yellow"/>
              </w:rPr>
              <w:t xml:space="preserve"> [</w:t>
            </w:r>
            <w:r w:rsidRPr="00A7540D">
              <w:rPr>
                <w:strike/>
                <w:highlight w:val="yellow"/>
              </w:rPr>
              <w:t>on an individual basis according to the needs of the student.  The determination shall include:</w:t>
            </w:r>
          </w:p>
          <w:p w:rsidR="004F04BD" w:rsidRPr="00A7540D" w:rsidRDefault="001069A6">
            <w:pPr>
              <w:jc w:val="both"/>
              <w:rPr>
                <w:highlight w:val="yellow"/>
              </w:rPr>
            </w:pPr>
            <w:r w:rsidRPr="00A7540D">
              <w:rPr>
                <w:highlight w:val="yellow"/>
              </w:rPr>
              <w:lastRenderedPageBreak/>
              <w:t>[</w:t>
            </w:r>
            <w:r w:rsidRPr="00A7540D">
              <w:rPr>
                <w:strike/>
                <w:highlight w:val="yellow"/>
              </w:rPr>
              <w:t>(1)  requiring a student to retake a board-approved assessment instrument, if the student did not initially perform within a deviation established by the board; or</w:t>
            </w:r>
          </w:p>
          <w:p w:rsidR="004F04BD" w:rsidRDefault="001069A6">
            <w:pPr>
              <w:jc w:val="both"/>
            </w:pPr>
            <w:r w:rsidRPr="00A7540D">
              <w:rPr>
                <w:highlight w:val="yellow"/>
              </w:rPr>
              <w:t>[</w:t>
            </w:r>
            <w:r w:rsidRPr="00A7540D">
              <w:rPr>
                <w:strike/>
                <w:highlight w:val="yellow"/>
              </w:rPr>
              <w:t>(2)  other board-approved means of evaluating student readiness, if the student did not initially pass the assessment instrument but performed within a deviation established by the board</w:t>
            </w:r>
            <w:r w:rsidRPr="00A7540D">
              <w:rPr>
                <w:highlight w:val="yellow"/>
              </w:rPr>
              <w:t>].</w:t>
            </w:r>
            <w:r>
              <w:t xml:space="preserve">  [FA1]</w:t>
            </w:r>
          </w:p>
          <w:p w:rsidR="004F04BD" w:rsidRDefault="004F04BD">
            <w:pPr>
              <w:jc w:val="both"/>
            </w:pPr>
          </w:p>
        </w:tc>
        <w:tc>
          <w:tcPr>
            <w:tcW w:w="5760" w:type="dxa"/>
          </w:tcPr>
          <w:p w:rsidR="004F04BD" w:rsidRDefault="004F04BD">
            <w:pPr>
              <w:jc w:val="both"/>
            </w:pPr>
          </w:p>
        </w:tc>
      </w:tr>
      <w:tr w:rsidR="004F04BD">
        <w:tc>
          <w:tcPr>
            <w:tcW w:w="6473" w:type="dxa"/>
          </w:tcPr>
          <w:p w:rsidR="004F04BD" w:rsidRDefault="001069A6">
            <w:pPr>
              <w:jc w:val="both"/>
            </w:pPr>
            <w:r w:rsidRPr="00A7540D">
              <w:rPr>
                <w:highlight w:val="yellow"/>
              </w:rPr>
              <w:lastRenderedPageBreak/>
              <w:t>No equivalent provision.</w:t>
            </w:r>
          </w:p>
          <w:p w:rsidR="004F04BD" w:rsidRDefault="004F04BD">
            <w:pPr>
              <w:jc w:val="both"/>
            </w:pPr>
          </w:p>
        </w:tc>
        <w:tc>
          <w:tcPr>
            <w:tcW w:w="6480" w:type="dxa"/>
          </w:tcPr>
          <w:p w:rsidR="004F04BD" w:rsidRDefault="001069A6">
            <w:pPr>
              <w:jc w:val="both"/>
            </w:pPr>
            <w:r>
              <w:t xml:space="preserve">SECTION __. </w:t>
            </w:r>
            <w:r>
              <w:rPr>
                <w:u w:val="single"/>
              </w:rPr>
              <w:t>SEC. 54.225  STUDENTS ENROLLED IN NON-SEMESTER-LENGTH DEVELOPMENTAL EDUCATION INTERVENTIONS.  The governing board of an institution of higher education may exempt from the payment of tuition authorized by this chapter a student who is participating in an approved non-semester-length developmental education intervention (including course-based, non-course-based, alternative-entry/exit, and other intensive developmental education activities).</w:t>
            </w:r>
            <w:r>
              <w:t xml:space="preserve">  [CA1]</w:t>
            </w:r>
          </w:p>
          <w:p w:rsidR="004F04BD" w:rsidRDefault="004F04BD">
            <w:pPr>
              <w:jc w:val="both"/>
            </w:pPr>
          </w:p>
        </w:tc>
        <w:tc>
          <w:tcPr>
            <w:tcW w:w="5760" w:type="dxa"/>
          </w:tcPr>
          <w:p w:rsidR="004F04BD" w:rsidRDefault="004F04BD">
            <w:pPr>
              <w:jc w:val="both"/>
            </w:pPr>
          </w:p>
        </w:tc>
      </w:tr>
      <w:tr w:rsidR="004F04BD">
        <w:tc>
          <w:tcPr>
            <w:tcW w:w="6473" w:type="dxa"/>
          </w:tcPr>
          <w:p w:rsidR="004F04BD" w:rsidRDefault="001069A6">
            <w:pPr>
              <w:jc w:val="both"/>
            </w:pPr>
            <w:r>
              <w:t>SECTION 2.  Section 51.3062(e), Education Code, is repealed.</w:t>
            </w:r>
          </w:p>
          <w:p w:rsidR="004F04BD" w:rsidRDefault="004F04BD">
            <w:pPr>
              <w:jc w:val="both"/>
            </w:pPr>
          </w:p>
        </w:tc>
        <w:tc>
          <w:tcPr>
            <w:tcW w:w="6480" w:type="dxa"/>
          </w:tcPr>
          <w:p w:rsidR="004F04BD" w:rsidRDefault="001069A6">
            <w:pPr>
              <w:jc w:val="both"/>
            </w:pPr>
            <w:r>
              <w:t>SECTION 2. Same as House version.</w:t>
            </w:r>
          </w:p>
          <w:p w:rsidR="004F04BD" w:rsidRDefault="004F04BD">
            <w:pPr>
              <w:jc w:val="both"/>
            </w:pPr>
          </w:p>
          <w:p w:rsidR="004F04BD" w:rsidRDefault="004F04BD">
            <w:pPr>
              <w:jc w:val="both"/>
            </w:pPr>
          </w:p>
        </w:tc>
        <w:tc>
          <w:tcPr>
            <w:tcW w:w="5760" w:type="dxa"/>
          </w:tcPr>
          <w:p w:rsidR="004F04BD" w:rsidRDefault="004F04BD">
            <w:pPr>
              <w:jc w:val="both"/>
            </w:pPr>
          </w:p>
        </w:tc>
      </w:tr>
      <w:tr w:rsidR="004F04BD">
        <w:tc>
          <w:tcPr>
            <w:tcW w:w="6473" w:type="dxa"/>
          </w:tcPr>
          <w:p w:rsidR="004F04BD" w:rsidRDefault="001069A6">
            <w:pPr>
              <w:jc w:val="both"/>
            </w:pPr>
            <w:r>
              <w:t>SECTION 3.  The change in law made by this Act applies beginning with the 2012-2013 academic year.</w:t>
            </w:r>
          </w:p>
          <w:p w:rsidR="004F04BD" w:rsidRDefault="004F04BD">
            <w:pPr>
              <w:jc w:val="both"/>
            </w:pPr>
          </w:p>
        </w:tc>
        <w:tc>
          <w:tcPr>
            <w:tcW w:w="6480" w:type="dxa"/>
          </w:tcPr>
          <w:p w:rsidR="004F04BD" w:rsidRDefault="001069A6">
            <w:pPr>
              <w:jc w:val="both"/>
            </w:pPr>
            <w:r>
              <w:t>SECTION 3. Same as House version.</w:t>
            </w:r>
          </w:p>
          <w:p w:rsidR="004F04BD" w:rsidRDefault="004F04BD">
            <w:pPr>
              <w:jc w:val="both"/>
            </w:pPr>
          </w:p>
          <w:p w:rsidR="004F04BD" w:rsidRDefault="004F04BD">
            <w:pPr>
              <w:jc w:val="both"/>
            </w:pPr>
          </w:p>
        </w:tc>
        <w:tc>
          <w:tcPr>
            <w:tcW w:w="5760" w:type="dxa"/>
          </w:tcPr>
          <w:p w:rsidR="004F04BD" w:rsidRDefault="004F04BD">
            <w:pPr>
              <w:jc w:val="both"/>
            </w:pPr>
          </w:p>
        </w:tc>
      </w:tr>
      <w:tr w:rsidR="004F04BD">
        <w:tc>
          <w:tcPr>
            <w:tcW w:w="6473" w:type="dxa"/>
          </w:tcPr>
          <w:p w:rsidR="004F04BD" w:rsidRDefault="001069A6">
            <w:pPr>
              <w:jc w:val="both"/>
            </w:pPr>
            <w:r>
              <w:t xml:space="preserve">SECTION 4.  This Act takes effect immediately if it receives a vote of two-thirds of all the members elected to each house, as provided by Section 39, Article III, Texas Constitution.  If this Act does not receive the vote necessary for immediate </w:t>
            </w:r>
            <w:r>
              <w:lastRenderedPageBreak/>
              <w:t>effect, this Act takes effect September 1, 2011.</w:t>
            </w:r>
          </w:p>
          <w:p w:rsidR="004F04BD" w:rsidRDefault="004F04BD">
            <w:pPr>
              <w:jc w:val="both"/>
            </w:pPr>
          </w:p>
        </w:tc>
        <w:tc>
          <w:tcPr>
            <w:tcW w:w="6480" w:type="dxa"/>
          </w:tcPr>
          <w:p w:rsidR="004F04BD" w:rsidRDefault="001069A6">
            <w:pPr>
              <w:jc w:val="both"/>
            </w:pPr>
            <w:r>
              <w:lastRenderedPageBreak/>
              <w:t>SECTION 4. Same as House version.</w:t>
            </w:r>
          </w:p>
          <w:p w:rsidR="004F04BD" w:rsidRDefault="004F04BD">
            <w:pPr>
              <w:jc w:val="both"/>
            </w:pPr>
          </w:p>
          <w:p w:rsidR="004F04BD" w:rsidRDefault="004F04BD">
            <w:pPr>
              <w:jc w:val="both"/>
            </w:pPr>
          </w:p>
        </w:tc>
        <w:tc>
          <w:tcPr>
            <w:tcW w:w="5760" w:type="dxa"/>
          </w:tcPr>
          <w:p w:rsidR="004F04BD" w:rsidRDefault="004F04BD">
            <w:pPr>
              <w:jc w:val="both"/>
            </w:pPr>
          </w:p>
        </w:tc>
      </w:tr>
    </w:tbl>
    <w:p w:rsidR="009A1E80" w:rsidRDefault="009A1E80"/>
    <w:sectPr w:rsidR="009A1E80" w:rsidSect="004F04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20160" w:h="12240" w:orient="landscape" w:code="5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772" w:rsidRDefault="003B1772" w:rsidP="004F04BD">
      <w:r>
        <w:separator/>
      </w:r>
    </w:p>
  </w:endnote>
  <w:endnote w:type="continuationSeparator" w:id="0">
    <w:p w:rsidR="003B1772" w:rsidRDefault="003B1772" w:rsidP="004F0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B8" w:rsidRDefault="00B62E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143" w:rsidRDefault="00A57F3E">
    <w:pPr>
      <w:tabs>
        <w:tab w:val="center" w:pos="9360"/>
        <w:tab w:val="right" w:pos="18720"/>
      </w:tabs>
    </w:pPr>
    <w:fldSimple w:instr=" DOCPROPERTY  CCRF  \* MERGEFORMAT ">
      <w:r w:rsidR="002C361B">
        <w:t xml:space="preserve"> </w:t>
      </w:r>
    </w:fldSimple>
    <w:r w:rsidR="004F2143">
      <w:tab/>
    </w:r>
    <w:r>
      <w:fldChar w:fldCharType="begin"/>
    </w:r>
    <w:r w:rsidR="00910A28">
      <w:instrText xml:space="preserve"> PAGE </w:instrText>
    </w:r>
    <w:r>
      <w:fldChar w:fldCharType="separate"/>
    </w:r>
    <w:r w:rsidR="0092591B">
      <w:rPr>
        <w:noProof/>
      </w:rPr>
      <w:t>1</w:t>
    </w:r>
    <w:r>
      <w:fldChar w:fldCharType="end"/>
    </w:r>
    <w:r w:rsidR="004F2143">
      <w:tab/>
    </w:r>
    <w:r>
      <w:fldChar w:fldCharType="begin"/>
    </w:r>
    <w:r>
      <w:instrText xml:space="preserve"> DOCPROPERTY  OTID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B8" w:rsidRDefault="00B62E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772" w:rsidRDefault="003B1772" w:rsidP="004F04BD">
      <w:r>
        <w:separator/>
      </w:r>
    </w:p>
  </w:footnote>
  <w:footnote w:type="continuationSeparator" w:id="0">
    <w:p w:rsidR="003B1772" w:rsidRDefault="003B1772" w:rsidP="004F0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B8" w:rsidRDefault="00B62E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B8" w:rsidRDefault="00B62EB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B8" w:rsidRDefault="00B62E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4BD"/>
    <w:rsid w:val="001069A6"/>
    <w:rsid w:val="002C361B"/>
    <w:rsid w:val="003B1772"/>
    <w:rsid w:val="003F62E5"/>
    <w:rsid w:val="004F04BD"/>
    <w:rsid w:val="004F2143"/>
    <w:rsid w:val="00797DC6"/>
    <w:rsid w:val="00910A28"/>
    <w:rsid w:val="0092591B"/>
    <w:rsid w:val="009A1E80"/>
    <w:rsid w:val="00A57F3E"/>
    <w:rsid w:val="00A7540D"/>
    <w:rsid w:val="00B62EB8"/>
    <w:rsid w:val="00E251EE"/>
    <w:rsid w:val="00F1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Give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BD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2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2EB8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62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2EB8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en-Hse%20Amend%20Analysis\SXS%20Word%20Template\SX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SXS.dotm</Template>
  <TotalTime>0</TotalTime>
  <Pages>4</Pages>
  <Words>1101</Words>
  <Characters>6276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HB1244-SAA</vt:lpstr>
    </vt:vector>
  </TitlesOfParts>
  <Company/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HB1244-SAA</dc:title>
  <dc:subject/>
  <dc:creator>TXK</dc:creator>
  <cp:keywords/>
  <dc:description/>
  <cp:lastModifiedBy>TXK</cp:lastModifiedBy>
  <cp:revision>2</cp:revision>
  <dcterms:created xsi:type="dcterms:W3CDTF">2011-05-25T02:23:00Z</dcterms:created>
  <dcterms:modified xsi:type="dcterms:W3CDTF">2011-05-25T02:23:00Z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/>
  </property>
  <property fmtid="{D5CDD505-2E9C-101B-9397-08002B2CF9AE}" pid="3" name="CCRF">
    <vt:lpwstr> </vt:lpwstr>
  </property>
</Properties>
</file>