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872693" w:rsidTr="00345119">
        <w:tc>
          <w:tcPr>
            <w:tcW w:w="9576" w:type="dxa"/>
            <w:noWrap/>
          </w:tcPr>
          <w:p w:rsidR="008423E4" w:rsidRPr="0022177D" w:rsidRDefault="005D575A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5D575A" w:rsidP="008423E4">
      <w:pPr>
        <w:jc w:val="center"/>
      </w:pPr>
    </w:p>
    <w:p w:rsidR="008423E4" w:rsidRPr="00B31F0E" w:rsidRDefault="005D575A" w:rsidP="008423E4"/>
    <w:p w:rsidR="008423E4" w:rsidRPr="00742794" w:rsidRDefault="005D575A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872693" w:rsidTr="00345119">
        <w:tc>
          <w:tcPr>
            <w:tcW w:w="9576" w:type="dxa"/>
          </w:tcPr>
          <w:p w:rsidR="008423E4" w:rsidRPr="00861995" w:rsidRDefault="005D575A" w:rsidP="00345119">
            <w:pPr>
              <w:jc w:val="right"/>
            </w:pPr>
            <w:r>
              <w:t>S.B. 1743</w:t>
            </w:r>
          </w:p>
        </w:tc>
      </w:tr>
      <w:tr w:rsidR="00872693" w:rsidTr="00345119">
        <w:tc>
          <w:tcPr>
            <w:tcW w:w="9576" w:type="dxa"/>
          </w:tcPr>
          <w:p w:rsidR="008423E4" w:rsidRPr="00861995" w:rsidRDefault="005D575A" w:rsidP="00115966">
            <w:pPr>
              <w:jc w:val="right"/>
            </w:pPr>
            <w:r>
              <w:t xml:space="preserve">By: </w:t>
            </w:r>
            <w:r>
              <w:t>Zaffirini</w:t>
            </w:r>
          </w:p>
        </w:tc>
      </w:tr>
      <w:tr w:rsidR="00872693" w:rsidTr="00345119">
        <w:tc>
          <w:tcPr>
            <w:tcW w:w="9576" w:type="dxa"/>
          </w:tcPr>
          <w:p w:rsidR="008423E4" w:rsidRPr="00861995" w:rsidRDefault="005D575A" w:rsidP="00345119">
            <w:pPr>
              <w:jc w:val="right"/>
            </w:pPr>
            <w:r>
              <w:t>Human Services</w:t>
            </w:r>
          </w:p>
        </w:tc>
      </w:tr>
      <w:tr w:rsidR="00872693" w:rsidTr="00345119">
        <w:tc>
          <w:tcPr>
            <w:tcW w:w="9576" w:type="dxa"/>
          </w:tcPr>
          <w:p w:rsidR="008423E4" w:rsidRDefault="005D575A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5D575A" w:rsidP="008423E4">
      <w:pPr>
        <w:tabs>
          <w:tab w:val="right" w:pos="9360"/>
        </w:tabs>
      </w:pPr>
    </w:p>
    <w:p w:rsidR="008423E4" w:rsidRDefault="005D575A" w:rsidP="008423E4"/>
    <w:p w:rsidR="008423E4" w:rsidRDefault="005D575A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872693" w:rsidTr="00DD2E4F">
        <w:tc>
          <w:tcPr>
            <w:tcW w:w="9582" w:type="dxa"/>
          </w:tcPr>
          <w:p w:rsidR="008423E4" w:rsidRPr="00A8133F" w:rsidRDefault="005D575A" w:rsidP="0019795F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5D575A" w:rsidP="0019795F"/>
          <w:p w:rsidR="008423E4" w:rsidRDefault="005D575A" w:rsidP="0019795F">
            <w:pPr>
              <w:pStyle w:val="Header"/>
              <w:jc w:val="both"/>
            </w:pPr>
            <w:r>
              <w:t xml:space="preserve">According to interested parties, recent legislation </w:t>
            </w:r>
            <w:r>
              <w:t xml:space="preserve">that had originally slated </w:t>
            </w:r>
            <w:r>
              <w:t>t</w:t>
            </w:r>
            <w:r>
              <w:t xml:space="preserve">he Office for </w:t>
            </w:r>
            <w:r>
              <w:t xml:space="preserve">the </w:t>
            </w:r>
            <w:r>
              <w:t xml:space="preserve">Prevention of Developmental </w:t>
            </w:r>
            <w:r>
              <w:t>Disabilities</w:t>
            </w:r>
            <w:r>
              <w:t xml:space="preserve"> for </w:t>
            </w:r>
            <w:r>
              <w:t>abolishment</w:t>
            </w:r>
            <w:r>
              <w:t xml:space="preserve"> was amended to allow time for the development of an alternative to </w:t>
            </w:r>
            <w:r>
              <w:t>abolishment</w:t>
            </w:r>
            <w:r>
              <w:t xml:space="preserve">. </w:t>
            </w:r>
            <w:r>
              <w:t>S.B. 1743</w:t>
            </w:r>
            <w:r>
              <w:t xml:space="preserve"> </w:t>
            </w:r>
            <w:r>
              <w:t>seeks to provide that alternative by transferring the office to</w:t>
            </w:r>
            <w:r>
              <w:t xml:space="preserve"> </w:t>
            </w:r>
            <w:r>
              <w:t>T</w:t>
            </w:r>
            <w:r>
              <w:t>he University of Texas</w:t>
            </w:r>
            <w:r>
              <w:t xml:space="preserve"> </w:t>
            </w:r>
            <w:r>
              <w:t xml:space="preserve">at Austin </w:t>
            </w:r>
            <w:r>
              <w:t>as a program</w:t>
            </w:r>
            <w:r>
              <w:t xml:space="preserve"> and renaming the office as</w:t>
            </w:r>
            <w:r>
              <w:t xml:space="preserve"> the Office for Healthy Children</w:t>
            </w:r>
            <w:r>
              <w:t>.</w:t>
            </w:r>
          </w:p>
          <w:p w:rsidR="008423E4" w:rsidRPr="00E26B13" w:rsidRDefault="005D575A" w:rsidP="0019795F">
            <w:pPr>
              <w:rPr>
                <w:b/>
              </w:rPr>
            </w:pPr>
          </w:p>
        </w:tc>
      </w:tr>
      <w:tr w:rsidR="00872693" w:rsidTr="00DD2E4F">
        <w:tc>
          <w:tcPr>
            <w:tcW w:w="9582" w:type="dxa"/>
          </w:tcPr>
          <w:p w:rsidR="0017725B" w:rsidRDefault="005D575A" w:rsidP="0019795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5D575A" w:rsidP="0019795F">
            <w:pPr>
              <w:rPr>
                <w:b/>
                <w:u w:val="single"/>
              </w:rPr>
            </w:pPr>
          </w:p>
          <w:p w:rsidR="006E419B" w:rsidRPr="006E419B" w:rsidRDefault="005D575A" w:rsidP="0019795F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</w:t>
            </w:r>
            <w:r>
              <w:t>ity of a person for community supervision, parole, or mandatory supervision.</w:t>
            </w:r>
          </w:p>
          <w:p w:rsidR="0017725B" w:rsidRPr="0017725B" w:rsidRDefault="005D575A" w:rsidP="0019795F">
            <w:pPr>
              <w:rPr>
                <w:b/>
                <w:u w:val="single"/>
              </w:rPr>
            </w:pPr>
          </w:p>
        </w:tc>
      </w:tr>
      <w:tr w:rsidR="00872693" w:rsidTr="00DD2E4F">
        <w:tc>
          <w:tcPr>
            <w:tcW w:w="9582" w:type="dxa"/>
          </w:tcPr>
          <w:p w:rsidR="008423E4" w:rsidRPr="00A8133F" w:rsidRDefault="005D575A" w:rsidP="0019795F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5D575A" w:rsidP="0019795F"/>
          <w:p w:rsidR="006E419B" w:rsidRDefault="005D575A" w:rsidP="0019795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additional rulemaking authority to a state officer, department, agency, or </w:t>
            </w:r>
            <w:r>
              <w:t>institution.</w:t>
            </w:r>
          </w:p>
          <w:p w:rsidR="008423E4" w:rsidRPr="00E21FDC" w:rsidRDefault="005D575A" w:rsidP="0019795F">
            <w:pPr>
              <w:rPr>
                <w:b/>
              </w:rPr>
            </w:pPr>
          </w:p>
        </w:tc>
      </w:tr>
      <w:tr w:rsidR="00872693" w:rsidTr="00DD2E4F">
        <w:tc>
          <w:tcPr>
            <w:tcW w:w="9582" w:type="dxa"/>
          </w:tcPr>
          <w:p w:rsidR="008423E4" w:rsidRPr="00A8133F" w:rsidRDefault="005D575A" w:rsidP="0019795F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5D575A" w:rsidP="0019795F"/>
          <w:p w:rsidR="004512BF" w:rsidRDefault="005D575A" w:rsidP="0019795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1743</w:t>
            </w:r>
            <w:r>
              <w:t xml:space="preserve"> </w:t>
            </w:r>
            <w:r>
              <w:t>abolishes</w:t>
            </w:r>
            <w:r w:rsidRPr="00AC3B2B">
              <w:t xml:space="preserve"> </w:t>
            </w:r>
            <w:r>
              <w:t xml:space="preserve">the </w:t>
            </w:r>
            <w:r w:rsidRPr="00700E66">
              <w:t>Office for the Prevention of Developmental Disabilities</w:t>
            </w:r>
            <w:r>
              <w:t xml:space="preserve"> as an independent office administratively attached to the Health and Human Services Commission</w:t>
            </w:r>
            <w:r>
              <w:t xml:space="preserve"> (HHSC)</w:t>
            </w:r>
            <w:r>
              <w:t>,</w:t>
            </w:r>
            <w:r>
              <w:t xml:space="preserve"> transfers the office</w:t>
            </w:r>
            <w:r>
              <w:t xml:space="preserve"> to</w:t>
            </w:r>
            <w:r>
              <w:t xml:space="preserve"> </w:t>
            </w:r>
            <w:r>
              <w:t>T</w:t>
            </w:r>
            <w:r w:rsidRPr="00700E66">
              <w:t>he University of Texas</w:t>
            </w:r>
            <w:r w:rsidRPr="00700E66">
              <w:t xml:space="preserve"> at Austin as a</w:t>
            </w:r>
            <w:r>
              <w:t xml:space="preserve"> </w:t>
            </w:r>
            <w:r w:rsidRPr="00700E66">
              <w:t>program</w:t>
            </w:r>
            <w:r>
              <w:t>,</w:t>
            </w:r>
            <w:r>
              <w:t xml:space="preserve"> </w:t>
            </w:r>
            <w:r>
              <w:t xml:space="preserve">and </w:t>
            </w:r>
            <w:r>
              <w:t>rename</w:t>
            </w:r>
            <w:r>
              <w:t>s</w:t>
            </w:r>
            <w:r>
              <w:t xml:space="preserve"> </w:t>
            </w:r>
            <w:r>
              <w:t xml:space="preserve">the office </w:t>
            </w:r>
            <w:r>
              <w:t xml:space="preserve">as the </w:t>
            </w:r>
            <w:r w:rsidRPr="000428AC">
              <w:t>Office for Healthy Children</w:t>
            </w:r>
            <w:r>
              <w:t>.</w:t>
            </w:r>
            <w:r>
              <w:t xml:space="preserve"> The bill abolishes the </w:t>
            </w:r>
            <w:r w:rsidRPr="00260B35">
              <w:t>executive committee</w:t>
            </w:r>
            <w:r>
              <w:t xml:space="preserve"> and</w:t>
            </w:r>
            <w:r>
              <w:t xml:space="preserve"> </w:t>
            </w:r>
            <w:r w:rsidRPr="00260B35">
              <w:t>board of advisors</w:t>
            </w:r>
            <w:r>
              <w:t xml:space="preserve"> </w:t>
            </w:r>
            <w:r>
              <w:t xml:space="preserve">of the Office for the Prevention of Developmental Disabilities </w:t>
            </w:r>
            <w:r>
              <w:t xml:space="preserve">and </w:t>
            </w:r>
            <w:r>
              <w:t xml:space="preserve">the position of </w:t>
            </w:r>
            <w:r>
              <w:t>executive director of th</w:t>
            </w:r>
            <w:r>
              <w:t xml:space="preserve">e </w:t>
            </w:r>
            <w:r>
              <w:t>o</w:t>
            </w:r>
            <w:r w:rsidRPr="008E4774">
              <w:t>ffice</w:t>
            </w:r>
            <w:r>
              <w:t>,</w:t>
            </w:r>
            <w:r w:rsidRPr="00260B35">
              <w:t xml:space="preserve"> </w:t>
            </w:r>
            <w:r>
              <w:t xml:space="preserve">but </w:t>
            </w:r>
            <w:r>
              <w:t xml:space="preserve">authorizes the </w:t>
            </w:r>
            <w:r>
              <w:t>president</w:t>
            </w:r>
            <w:r>
              <w:t xml:space="preserve"> of </w:t>
            </w:r>
            <w:r>
              <w:t>T</w:t>
            </w:r>
            <w:r>
              <w:t xml:space="preserve">he </w:t>
            </w:r>
            <w:r>
              <w:t>U</w:t>
            </w:r>
            <w:r>
              <w:t xml:space="preserve">niversity </w:t>
            </w:r>
            <w:r>
              <w:t xml:space="preserve">of Texas </w:t>
            </w:r>
            <w:r>
              <w:t xml:space="preserve">at Austin </w:t>
            </w:r>
            <w:r>
              <w:t>or the president's designee</w:t>
            </w:r>
            <w:r>
              <w:t xml:space="preserve"> </w:t>
            </w:r>
            <w:r>
              <w:t xml:space="preserve">to </w:t>
            </w:r>
            <w:r w:rsidRPr="00260B35">
              <w:t xml:space="preserve">hire </w:t>
            </w:r>
            <w:r>
              <w:t>the</w:t>
            </w:r>
            <w:r w:rsidRPr="00260B35">
              <w:t xml:space="preserve"> person</w:t>
            </w:r>
            <w:r>
              <w:t xml:space="preserve"> serv</w:t>
            </w:r>
            <w:r>
              <w:t>ing</w:t>
            </w:r>
            <w:r w:rsidRPr="00260B35">
              <w:t xml:space="preserve"> as the </w:t>
            </w:r>
            <w:r>
              <w:t xml:space="preserve">executive </w:t>
            </w:r>
            <w:r w:rsidRPr="00260B35">
              <w:t xml:space="preserve">director immediately before the </w:t>
            </w:r>
            <w:r>
              <w:t xml:space="preserve">bill's </w:t>
            </w:r>
            <w:r w:rsidRPr="00260B35">
              <w:t xml:space="preserve">effective date </w:t>
            </w:r>
            <w:r>
              <w:t>for a</w:t>
            </w:r>
            <w:r>
              <w:t xml:space="preserve"> </w:t>
            </w:r>
            <w:r>
              <w:t xml:space="preserve">position in the </w:t>
            </w:r>
            <w:r w:rsidRPr="008E4774">
              <w:t>Office for Healthy Children</w:t>
            </w:r>
            <w:r>
              <w:t xml:space="preserve">. </w:t>
            </w:r>
            <w:r>
              <w:t xml:space="preserve"> </w:t>
            </w:r>
          </w:p>
          <w:p w:rsidR="004512BF" w:rsidRDefault="005D575A" w:rsidP="0019795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9C58E4" w:rsidRDefault="005D575A" w:rsidP="0019795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1743</w:t>
            </w:r>
            <w:r>
              <w:t xml:space="preserve"> establishes that </w:t>
            </w:r>
            <w:r w:rsidRPr="006B4333">
              <w:t xml:space="preserve">an employee of the </w:t>
            </w:r>
            <w:r w:rsidRPr="00BC3CF3">
              <w:t>Office for the Prevention of Developmental Disabilities</w:t>
            </w:r>
            <w:r>
              <w:t xml:space="preserve"> </w:t>
            </w:r>
            <w:r w:rsidRPr="006B4333">
              <w:t xml:space="preserve">becomes an employee of </w:t>
            </w:r>
            <w:r>
              <w:t>t</w:t>
            </w:r>
            <w:r w:rsidRPr="006B4333">
              <w:t xml:space="preserve">he </w:t>
            </w:r>
            <w:r>
              <w:t>u</w:t>
            </w:r>
            <w:r w:rsidRPr="006B4333">
              <w:t>niversity</w:t>
            </w:r>
            <w:r>
              <w:t xml:space="preserve"> and that </w:t>
            </w:r>
            <w:r w:rsidRPr="006B4333">
              <w:t xml:space="preserve">all property, including records, in the </w:t>
            </w:r>
            <w:r>
              <w:t xml:space="preserve">office's </w:t>
            </w:r>
            <w:r w:rsidRPr="006B4333">
              <w:t xml:space="preserve">custody becomes the </w:t>
            </w:r>
            <w:r>
              <w:t xml:space="preserve">university's </w:t>
            </w:r>
            <w:r w:rsidRPr="006B4333">
              <w:t>property</w:t>
            </w:r>
            <w:r>
              <w:t xml:space="preserve">. The bill </w:t>
            </w:r>
            <w:r>
              <w:t>transf</w:t>
            </w:r>
            <w:r>
              <w:t xml:space="preserve">ers the following to the university: </w:t>
            </w:r>
            <w:r>
              <w:t xml:space="preserve">all </w:t>
            </w:r>
            <w:r w:rsidRPr="006B4333">
              <w:t xml:space="preserve">money, including gifts, donations, and grants of money, contracts, </w:t>
            </w:r>
            <w:r>
              <w:t>leases, rights, and obligations</w:t>
            </w:r>
            <w:r>
              <w:t xml:space="preserve"> of the </w:t>
            </w:r>
            <w:r>
              <w:t>o</w:t>
            </w:r>
            <w:r w:rsidRPr="00BC3CF3">
              <w:t>ffice</w:t>
            </w:r>
            <w:r>
              <w:t xml:space="preserve">; </w:t>
            </w:r>
            <w:r w:rsidRPr="006B4333">
              <w:t>all funds appropriated by the legislature to the office</w:t>
            </w:r>
            <w:r>
              <w:t xml:space="preserve">; and </w:t>
            </w:r>
            <w:r w:rsidRPr="006B4333">
              <w:t>all functions and activities performed b</w:t>
            </w:r>
            <w:r w:rsidRPr="006B4333">
              <w:t>y the office</w:t>
            </w:r>
            <w:r>
              <w:t xml:space="preserve">. The bill establishes </w:t>
            </w:r>
            <w:r>
              <w:t>that t</w:t>
            </w:r>
            <w:r w:rsidRPr="00485723">
              <w:t xml:space="preserve">he validity of an action taken by the </w:t>
            </w:r>
            <w:r>
              <w:t>o</w:t>
            </w:r>
            <w:r w:rsidRPr="00BC3CF3">
              <w:t>ffice</w:t>
            </w:r>
            <w:r>
              <w:t xml:space="preserve"> </w:t>
            </w:r>
            <w:r w:rsidRPr="00485723">
              <w:t xml:space="preserve">or </w:t>
            </w:r>
            <w:r>
              <w:t xml:space="preserve">the office's </w:t>
            </w:r>
            <w:r w:rsidRPr="00485723">
              <w:t xml:space="preserve">executive committee or board of advisors before the </w:t>
            </w:r>
            <w:r>
              <w:t xml:space="preserve">bill's </w:t>
            </w:r>
            <w:r w:rsidRPr="00485723">
              <w:t>effective date is not affected by the abolishment of the office</w:t>
            </w:r>
            <w:r>
              <w:t xml:space="preserve">; </w:t>
            </w:r>
            <w:r>
              <w:t xml:space="preserve">that a </w:t>
            </w:r>
            <w:r w:rsidRPr="006B4333">
              <w:t xml:space="preserve">rule, form, policy, procedure, or decision of the </w:t>
            </w:r>
            <w:r>
              <w:t>o</w:t>
            </w:r>
            <w:r w:rsidRPr="006B4333">
              <w:t xml:space="preserve">ffice or </w:t>
            </w:r>
            <w:r>
              <w:t>HHSC</w:t>
            </w:r>
            <w:r w:rsidRPr="006B4333">
              <w:t xml:space="preserve"> that is related to the office is continued in effect as a rule, form, policy, procedure, or decision of </w:t>
            </w:r>
            <w:r>
              <w:t>t</w:t>
            </w:r>
            <w:r w:rsidRPr="006B4333">
              <w:t xml:space="preserve">he </w:t>
            </w:r>
            <w:r>
              <w:t>u</w:t>
            </w:r>
            <w:r w:rsidRPr="006B4333">
              <w:t>niversity</w:t>
            </w:r>
            <w:r>
              <w:t xml:space="preserve"> system</w:t>
            </w:r>
            <w:r w:rsidRPr="006B4333">
              <w:t xml:space="preserve"> until superseded by a rule, form, policy, procedure, or decision </w:t>
            </w:r>
            <w:r w:rsidRPr="006B4333">
              <w:t xml:space="preserve">of the </w:t>
            </w:r>
            <w:r>
              <w:t>system</w:t>
            </w:r>
            <w:r>
              <w:t>; and that a</w:t>
            </w:r>
            <w:r w:rsidRPr="00485723">
              <w:t xml:space="preserve">ny action or proceeding pending before the </w:t>
            </w:r>
            <w:r>
              <w:t>o</w:t>
            </w:r>
            <w:r w:rsidRPr="00485723">
              <w:t xml:space="preserve">ffice on the </w:t>
            </w:r>
            <w:r>
              <w:t xml:space="preserve">bill's </w:t>
            </w:r>
            <w:r w:rsidRPr="00485723">
              <w:t xml:space="preserve">effective date becomes an action or proceeding before </w:t>
            </w:r>
            <w:r>
              <w:t>t</w:t>
            </w:r>
            <w:r w:rsidRPr="00485723">
              <w:t xml:space="preserve">he </w:t>
            </w:r>
            <w:r>
              <w:t>u</w:t>
            </w:r>
            <w:r w:rsidRPr="00485723">
              <w:t>niversity</w:t>
            </w:r>
            <w:r w:rsidRPr="006B4333">
              <w:t>.</w:t>
            </w:r>
            <w:r>
              <w:t xml:space="preserve">  </w:t>
            </w:r>
          </w:p>
          <w:p w:rsidR="009C58E4" w:rsidRDefault="005D575A" w:rsidP="0019795F">
            <w:pPr>
              <w:pStyle w:val="Header"/>
              <w:tabs>
                <w:tab w:val="clear" w:pos="4320"/>
                <w:tab w:val="clear" w:pos="8640"/>
                <w:tab w:val="left" w:pos="1515"/>
              </w:tabs>
              <w:jc w:val="both"/>
            </w:pPr>
            <w:r>
              <w:tab/>
            </w:r>
          </w:p>
          <w:p w:rsidR="008423E4" w:rsidRDefault="005D575A" w:rsidP="0019795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1743</w:t>
            </w:r>
            <w:r w:rsidRPr="00340CBE">
              <w:t xml:space="preserve"> </w:t>
            </w:r>
            <w:r>
              <w:t xml:space="preserve">transfers Human Resources Code provisions relating to the </w:t>
            </w:r>
            <w:r w:rsidRPr="00BC3CF3">
              <w:t>Office for the Prevention</w:t>
            </w:r>
            <w:r w:rsidRPr="00BC3CF3">
              <w:t xml:space="preserve"> </w:t>
            </w:r>
            <w:r w:rsidRPr="00BC3CF3">
              <w:lastRenderedPageBreak/>
              <w:t>of Developmental Disabilities</w:t>
            </w:r>
            <w:r>
              <w:t xml:space="preserve"> </w:t>
            </w:r>
            <w:r>
              <w:t xml:space="preserve">to the Education Code and </w:t>
            </w:r>
            <w:r w:rsidRPr="00340CBE">
              <w:t xml:space="preserve">amends the Education Code to </w:t>
            </w:r>
            <w:r>
              <w:t>specify</w:t>
            </w:r>
            <w:r>
              <w:t xml:space="preserve"> that the </w:t>
            </w:r>
            <w:r w:rsidRPr="008E4774">
              <w:t>Office for Healthy Children</w:t>
            </w:r>
            <w:r>
              <w:t xml:space="preserve"> </w:t>
            </w:r>
            <w:r>
              <w:t>is established under and administered by the university</w:t>
            </w:r>
            <w:r>
              <w:t xml:space="preserve">; to remove </w:t>
            </w:r>
            <w:r>
              <w:t xml:space="preserve">statutory </w:t>
            </w:r>
            <w:r>
              <w:t xml:space="preserve">provisions relating to the </w:t>
            </w:r>
            <w:r w:rsidRPr="008E4774">
              <w:t>Office for the Preven</w:t>
            </w:r>
            <w:r w:rsidRPr="008E4774">
              <w:t>tion of Developmental Disabilities</w:t>
            </w:r>
            <w:r>
              <w:t xml:space="preserve">' </w:t>
            </w:r>
            <w:r>
              <w:t>administrative attachment to HHSC and elements of the office's duties pertaining to divisions within HHSC</w:t>
            </w:r>
            <w:r>
              <w:t xml:space="preserve"> and pertaining to the monitoring and assessment of those divisions and </w:t>
            </w:r>
            <w:r>
              <w:t>state agencies with regard to preventing de</w:t>
            </w:r>
            <w:r>
              <w:t>velopmental disabilities</w:t>
            </w:r>
            <w:r>
              <w:t xml:space="preserve">; </w:t>
            </w:r>
            <w:r>
              <w:t>and</w:t>
            </w:r>
            <w:r>
              <w:t xml:space="preserve"> </w:t>
            </w:r>
            <w:r>
              <w:t xml:space="preserve">to </w:t>
            </w:r>
            <w:r w:rsidRPr="00340CBE">
              <w:t xml:space="preserve">transfer certain duties and responsibilities from the </w:t>
            </w:r>
            <w:r>
              <w:t xml:space="preserve">office's </w:t>
            </w:r>
            <w:r w:rsidRPr="00340CBE">
              <w:t xml:space="preserve">executive committee </w:t>
            </w:r>
            <w:r w:rsidRPr="00340CBE">
              <w:t xml:space="preserve">to </w:t>
            </w:r>
            <w:r w:rsidRPr="00340CBE">
              <w:t>the</w:t>
            </w:r>
            <w:r>
              <w:t xml:space="preserve"> </w:t>
            </w:r>
            <w:r w:rsidRPr="00785D03">
              <w:t>president of the university or the president's designee</w:t>
            </w:r>
            <w:r w:rsidRPr="00340CBE">
              <w:t xml:space="preserve"> </w:t>
            </w:r>
            <w:r>
              <w:t>and</w:t>
            </w:r>
            <w:r>
              <w:t xml:space="preserve"> to</w:t>
            </w:r>
            <w:r>
              <w:t xml:space="preserve"> the director hired by the </w:t>
            </w:r>
            <w:r w:rsidRPr="00785D03">
              <w:t>president or the president's designee</w:t>
            </w:r>
            <w:r>
              <w:t xml:space="preserve">. The bill specifies that funds in the form of gifts, donations, and grants of money from public and private sources to assist in financing the duties and functions </w:t>
            </w:r>
            <w:r>
              <w:t xml:space="preserve">of the Office for Healthy Children </w:t>
            </w:r>
            <w:r>
              <w:t>are administered by the university</w:t>
            </w:r>
            <w:r>
              <w:t xml:space="preserve"> </w:t>
            </w:r>
            <w:r>
              <w:t>and</w:t>
            </w:r>
            <w:r>
              <w:t xml:space="preserve"> </w:t>
            </w:r>
            <w:r w:rsidRPr="00340CBE">
              <w:t>require</w:t>
            </w:r>
            <w:r>
              <w:t>s</w:t>
            </w:r>
            <w:r w:rsidRPr="00340CBE">
              <w:t xml:space="preserve"> the univ</w:t>
            </w:r>
            <w:r w:rsidRPr="00340CBE">
              <w:t xml:space="preserve">ersity to maintain a separate accounting of </w:t>
            </w:r>
            <w:r>
              <w:t>such</w:t>
            </w:r>
            <w:r>
              <w:t xml:space="preserve"> raised</w:t>
            </w:r>
            <w:r>
              <w:t xml:space="preserve"> </w:t>
            </w:r>
            <w:r w:rsidRPr="00340CBE">
              <w:t>funds</w:t>
            </w:r>
            <w:r>
              <w:t xml:space="preserve">. </w:t>
            </w:r>
            <w:r>
              <w:t xml:space="preserve"> </w:t>
            </w:r>
            <w:r>
              <w:t xml:space="preserve"> </w:t>
            </w:r>
          </w:p>
          <w:p w:rsidR="00340CBE" w:rsidRDefault="005D575A" w:rsidP="0019795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700E66" w:rsidRDefault="005D575A" w:rsidP="0019795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1743</w:t>
            </w:r>
            <w:r>
              <w:t xml:space="preserve"> amends the Government Code</w:t>
            </w:r>
            <w:r>
              <w:t xml:space="preserve"> and </w:t>
            </w:r>
            <w:r w:rsidRPr="009D07FF">
              <w:t>the Penal Code</w:t>
            </w:r>
            <w:r>
              <w:t xml:space="preserve"> to make conforming changes. </w:t>
            </w:r>
          </w:p>
          <w:p w:rsidR="00700E66" w:rsidRDefault="005D575A" w:rsidP="0019795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053B4F" w:rsidRDefault="005D575A" w:rsidP="0019795F">
            <w:pPr>
              <w:pStyle w:val="Header"/>
              <w:spacing w:before="120" w:after="120"/>
              <w:jc w:val="both"/>
            </w:pPr>
            <w:r>
              <w:t>S.B. 1743</w:t>
            </w:r>
            <w:r>
              <w:t xml:space="preserve"> repeals </w:t>
            </w:r>
            <w:r>
              <w:t>the heading to Subchapter C, Chapter 112, Human Resources Code, and the following pro</w:t>
            </w:r>
            <w:r>
              <w:t>visions of the Human Resources Code:</w:t>
            </w:r>
            <w:r>
              <w:t xml:space="preserve"> </w:t>
            </w:r>
          </w:p>
          <w:p w:rsidR="00053B4F" w:rsidRDefault="005D575A" w:rsidP="0019795F">
            <w:pPr>
              <w:pStyle w:val="Header"/>
              <w:numPr>
                <w:ilvl w:val="0"/>
                <w:numId w:val="2"/>
              </w:numPr>
              <w:spacing w:before="120" w:after="120"/>
              <w:jc w:val="both"/>
            </w:pPr>
            <w:r>
              <w:t xml:space="preserve">Sec. </w:t>
            </w:r>
            <w:r>
              <w:t>112.0421</w:t>
            </w:r>
          </w:p>
          <w:p w:rsidR="00053B4F" w:rsidRDefault="005D575A" w:rsidP="0019795F">
            <w:pPr>
              <w:pStyle w:val="Header"/>
              <w:numPr>
                <w:ilvl w:val="0"/>
                <w:numId w:val="2"/>
              </w:numPr>
              <w:spacing w:before="120" w:after="120"/>
              <w:jc w:val="both"/>
            </w:pPr>
            <w:r>
              <w:t xml:space="preserve">Sec. </w:t>
            </w:r>
            <w:r w:rsidRPr="00CC1D35">
              <w:t>112.0431</w:t>
            </w:r>
          </w:p>
          <w:p w:rsidR="00053B4F" w:rsidRDefault="005D575A" w:rsidP="0019795F">
            <w:pPr>
              <w:pStyle w:val="Header"/>
              <w:numPr>
                <w:ilvl w:val="0"/>
                <w:numId w:val="2"/>
              </w:numPr>
              <w:spacing w:before="120" w:after="120"/>
              <w:jc w:val="both"/>
            </w:pPr>
            <w:r>
              <w:t xml:space="preserve">Sec. </w:t>
            </w:r>
            <w:r w:rsidRPr="00CC1D35">
              <w:t>112.045</w:t>
            </w:r>
          </w:p>
          <w:p w:rsidR="00053B4F" w:rsidRDefault="005D575A" w:rsidP="0019795F">
            <w:pPr>
              <w:pStyle w:val="Header"/>
              <w:numPr>
                <w:ilvl w:val="0"/>
                <w:numId w:val="2"/>
              </w:numPr>
              <w:spacing w:before="120" w:after="120"/>
              <w:jc w:val="both"/>
            </w:pPr>
            <w:r>
              <w:t xml:space="preserve">Sec. </w:t>
            </w:r>
            <w:r w:rsidRPr="00CC1D35">
              <w:t>112.0451</w:t>
            </w:r>
          </w:p>
          <w:p w:rsidR="00053B4F" w:rsidRDefault="005D575A" w:rsidP="0019795F">
            <w:pPr>
              <w:pStyle w:val="Header"/>
              <w:numPr>
                <w:ilvl w:val="0"/>
                <w:numId w:val="2"/>
              </w:numPr>
              <w:spacing w:before="120" w:after="120"/>
              <w:jc w:val="both"/>
            </w:pPr>
            <w:r>
              <w:t xml:space="preserve">Sec. </w:t>
            </w:r>
            <w:r w:rsidRPr="00CC1D35">
              <w:t>112.0452</w:t>
            </w:r>
          </w:p>
          <w:p w:rsidR="00053B4F" w:rsidRDefault="005D575A" w:rsidP="0019795F">
            <w:pPr>
              <w:pStyle w:val="Header"/>
              <w:numPr>
                <w:ilvl w:val="0"/>
                <w:numId w:val="2"/>
              </w:numPr>
              <w:spacing w:before="120" w:after="120"/>
              <w:jc w:val="both"/>
            </w:pPr>
            <w:r>
              <w:t xml:space="preserve">Sec. </w:t>
            </w:r>
            <w:r w:rsidRPr="00CC1D35">
              <w:t>112.0453</w:t>
            </w:r>
          </w:p>
          <w:p w:rsidR="00053B4F" w:rsidRDefault="005D575A" w:rsidP="0019795F">
            <w:pPr>
              <w:pStyle w:val="Header"/>
              <w:numPr>
                <w:ilvl w:val="0"/>
                <w:numId w:val="2"/>
              </w:numPr>
              <w:spacing w:before="120" w:after="120"/>
              <w:jc w:val="both"/>
            </w:pPr>
            <w:r>
              <w:t xml:space="preserve">Sec. </w:t>
            </w:r>
            <w:r w:rsidRPr="00CC1D35">
              <w:t>112.0454</w:t>
            </w:r>
          </w:p>
          <w:p w:rsidR="008423E4" w:rsidRPr="0079407D" w:rsidRDefault="005D575A" w:rsidP="0019795F">
            <w:pPr>
              <w:pStyle w:val="Header"/>
              <w:numPr>
                <w:ilvl w:val="0"/>
                <w:numId w:val="2"/>
              </w:numPr>
              <w:spacing w:before="120" w:after="120"/>
              <w:jc w:val="both"/>
              <w:rPr>
                <w:b/>
              </w:rPr>
            </w:pPr>
            <w:r>
              <w:t xml:space="preserve">Sec. </w:t>
            </w:r>
            <w:r w:rsidRPr="00CC1D35">
              <w:t>112.046</w:t>
            </w:r>
          </w:p>
          <w:p w:rsidR="0079407D" w:rsidRPr="00835628" w:rsidRDefault="005D575A" w:rsidP="0019795F">
            <w:pPr>
              <w:pStyle w:val="Header"/>
              <w:spacing w:before="120" w:after="120"/>
              <w:ind w:left="720"/>
              <w:jc w:val="both"/>
              <w:rPr>
                <w:b/>
              </w:rPr>
            </w:pPr>
          </w:p>
        </w:tc>
      </w:tr>
      <w:tr w:rsidR="00872693" w:rsidTr="00DD2E4F">
        <w:tc>
          <w:tcPr>
            <w:tcW w:w="9582" w:type="dxa"/>
          </w:tcPr>
          <w:p w:rsidR="008423E4" w:rsidRPr="00A8133F" w:rsidRDefault="005D575A" w:rsidP="0019795F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5D575A" w:rsidP="0019795F"/>
          <w:p w:rsidR="008423E4" w:rsidRDefault="005D575A" w:rsidP="0019795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August 31, 2017.</w:t>
            </w:r>
          </w:p>
          <w:p w:rsidR="00D10EC6" w:rsidRPr="00233FDB" w:rsidRDefault="005D575A" w:rsidP="0019795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</w:tr>
    </w:tbl>
    <w:p w:rsidR="004108C3" w:rsidRPr="008423E4" w:rsidRDefault="005D575A" w:rsidP="008423E4"/>
    <w:sectPr w:rsidR="004108C3" w:rsidRPr="008423E4" w:rsidSect="006D5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575A">
      <w:r>
        <w:separator/>
      </w:r>
    </w:p>
  </w:endnote>
  <w:endnote w:type="continuationSeparator" w:id="0">
    <w:p w:rsidR="00000000" w:rsidRDefault="005D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8FA" w:rsidRDefault="005D57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872693" w:rsidTr="009C1E9A">
      <w:trPr>
        <w:cantSplit/>
      </w:trPr>
      <w:tc>
        <w:tcPr>
          <w:tcW w:w="0" w:type="pct"/>
        </w:tcPr>
        <w:p w:rsidR="00137D90" w:rsidRDefault="005D575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5D575A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5D575A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5D575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5D575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72693" w:rsidTr="009C1E9A">
      <w:trPr>
        <w:cantSplit/>
      </w:trPr>
      <w:tc>
        <w:tcPr>
          <w:tcW w:w="0" w:type="pct"/>
        </w:tcPr>
        <w:p w:rsidR="00EC379B" w:rsidRDefault="005D575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5D575A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29179</w:t>
          </w:r>
        </w:p>
      </w:tc>
      <w:tc>
        <w:tcPr>
          <w:tcW w:w="2453" w:type="pct"/>
        </w:tcPr>
        <w:p w:rsidR="00EC379B" w:rsidRDefault="005D575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17.126.764</w:t>
          </w:r>
          <w:r>
            <w:fldChar w:fldCharType="end"/>
          </w:r>
        </w:p>
      </w:tc>
    </w:tr>
    <w:tr w:rsidR="00872693" w:rsidTr="009C1E9A">
      <w:trPr>
        <w:cantSplit/>
      </w:trPr>
      <w:tc>
        <w:tcPr>
          <w:tcW w:w="0" w:type="pct"/>
        </w:tcPr>
        <w:p w:rsidR="00EC379B" w:rsidRDefault="005D575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5D575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5D575A" w:rsidP="006D504F">
          <w:pPr>
            <w:pStyle w:val="Footer"/>
            <w:rPr>
              <w:rStyle w:val="PageNumber"/>
            </w:rPr>
          </w:pPr>
        </w:p>
        <w:p w:rsidR="00EC379B" w:rsidRDefault="005D575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72693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5D575A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5D575A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5D575A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8FA" w:rsidRDefault="005D57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575A">
      <w:r>
        <w:separator/>
      </w:r>
    </w:p>
  </w:footnote>
  <w:footnote w:type="continuationSeparator" w:id="0">
    <w:p w:rsidR="00000000" w:rsidRDefault="005D5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8FA" w:rsidRDefault="005D57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8FA" w:rsidRDefault="005D57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8FA" w:rsidRDefault="005D57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17DB"/>
    <w:multiLevelType w:val="hybridMultilevel"/>
    <w:tmpl w:val="E164781A"/>
    <w:lvl w:ilvl="0" w:tplc="533C9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9C0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062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4F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65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203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875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2A0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6E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E4DE0"/>
    <w:multiLevelType w:val="hybridMultilevel"/>
    <w:tmpl w:val="80802FB2"/>
    <w:lvl w:ilvl="0" w:tplc="C34A92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6AB5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0E9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A04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2D8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D403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06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020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3E0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93"/>
    <w:rsid w:val="005D575A"/>
    <w:rsid w:val="0087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700E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0E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0E66"/>
  </w:style>
  <w:style w:type="paragraph" w:styleId="CommentSubject">
    <w:name w:val="annotation subject"/>
    <w:basedOn w:val="CommentText"/>
    <w:next w:val="CommentText"/>
    <w:link w:val="CommentSubjectChar"/>
    <w:rsid w:val="00700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0E66"/>
    <w:rPr>
      <w:b/>
      <w:bCs/>
    </w:rPr>
  </w:style>
  <w:style w:type="paragraph" w:styleId="ListParagraph">
    <w:name w:val="List Paragraph"/>
    <w:basedOn w:val="Normal"/>
    <w:uiPriority w:val="34"/>
    <w:qFormat/>
    <w:rsid w:val="00531B55"/>
    <w:pPr>
      <w:ind w:left="720"/>
      <w:contextualSpacing/>
    </w:pPr>
  </w:style>
  <w:style w:type="paragraph" w:styleId="Revision">
    <w:name w:val="Revision"/>
    <w:hidden/>
    <w:uiPriority w:val="99"/>
    <w:semiHidden/>
    <w:rsid w:val="002965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700E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0E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0E66"/>
  </w:style>
  <w:style w:type="paragraph" w:styleId="CommentSubject">
    <w:name w:val="annotation subject"/>
    <w:basedOn w:val="CommentText"/>
    <w:next w:val="CommentText"/>
    <w:link w:val="CommentSubjectChar"/>
    <w:rsid w:val="00700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0E66"/>
    <w:rPr>
      <w:b/>
      <w:bCs/>
    </w:rPr>
  </w:style>
  <w:style w:type="paragraph" w:styleId="ListParagraph">
    <w:name w:val="List Paragraph"/>
    <w:basedOn w:val="Normal"/>
    <w:uiPriority w:val="34"/>
    <w:qFormat/>
    <w:rsid w:val="00531B55"/>
    <w:pPr>
      <w:ind w:left="720"/>
      <w:contextualSpacing/>
    </w:pPr>
  </w:style>
  <w:style w:type="paragraph" w:styleId="Revision">
    <w:name w:val="Revision"/>
    <w:hidden/>
    <w:uiPriority w:val="99"/>
    <w:semiHidden/>
    <w:rsid w:val="002965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3773</Characters>
  <Application>Microsoft Office Word</Application>
  <DocSecurity>4</DocSecurity>
  <Lines>86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SB01743 (Committee Report (Unamended))</vt:lpstr>
    </vt:vector>
  </TitlesOfParts>
  <Company>State of Texas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29179</dc:subject>
  <dc:creator>State of Texas</dc:creator>
  <dc:description>SB 1743 by Zaffirini-(H)Human Services</dc:description>
  <cp:lastModifiedBy> Stacey Nicchio</cp:lastModifiedBy>
  <cp:revision>2</cp:revision>
  <cp:lastPrinted>2017-05-06T20:46:00Z</cp:lastPrinted>
  <dcterms:created xsi:type="dcterms:W3CDTF">2017-05-09T01:11:00Z</dcterms:created>
  <dcterms:modified xsi:type="dcterms:W3CDTF">2017-05-09T01:11:00Z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17.126.764</vt:lpwstr>
  </property>
</Properties>
</file>