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B4B" w:rsidRDefault="00220B4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56B643DF46A14F4CA6CD24212F4E8AD9"/>
          </w:placeholder>
        </w:sdtPr>
        <w:sdtContent>
          <w:r w:rsidRPr="005C2A78">
            <w:rPr>
              <w:rFonts w:cs="Times New Roman"/>
              <w:b/>
              <w:szCs w:val="24"/>
              <w:u w:val="single"/>
            </w:rPr>
            <w:t>BILL ANALYSIS</w:t>
          </w:r>
        </w:sdtContent>
      </w:sdt>
    </w:p>
    <w:p w:rsidR="00220B4B" w:rsidRPr="00585C31" w:rsidRDefault="00220B4B" w:rsidP="000F1DF9">
      <w:pPr>
        <w:spacing w:after="0" w:line="240" w:lineRule="auto"/>
        <w:rPr>
          <w:rFonts w:cs="Times New Roman"/>
          <w:szCs w:val="24"/>
        </w:rPr>
      </w:pPr>
    </w:p>
    <w:p w:rsidR="00220B4B" w:rsidRPr="00585C31" w:rsidRDefault="00220B4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220B4B" w:rsidTr="000F1DF9">
        <w:tc>
          <w:tcPr>
            <w:tcW w:w="2718" w:type="dxa"/>
          </w:tcPr>
          <w:p w:rsidR="00220B4B" w:rsidRPr="005C2A78" w:rsidRDefault="00220B4B" w:rsidP="006D756B">
            <w:pPr>
              <w:rPr>
                <w:rFonts w:cs="Times New Roman"/>
                <w:szCs w:val="24"/>
              </w:rPr>
            </w:pPr>
            <w:sdt>
              <w:sdtPr>
                <w:rPr>
                  <w:rFonts w:cs="Times New Roman"/>
                  <w:szCs w:val="24"/>
                </w:rPr>
                <w:alias w:val="Agency Title"/>
                <w:tag w:val="AgencyTitleContentControl"/>
                <w:id w:val="1920747753"/>
                <w:lock w:val="sdtContentLocked"/>
                <w:placeholder>
                  <w:docPart w:val="22394154E12540EA88B6AF6C96219F04"/>
                </w:placeholder>
              </w:sdtPr>
              <w:sdtEndPr>
                <w:rPr>
                  <w:rFonts w:cstheme="minorBidi"/>
                  <w:szCs w:val="22"/>
                </w:rPr>
              </w:sdtEndPr>
              <w:sdtContent>
                <w:r>
                  <w:rPr>
                    <w:rFonts w:cs="Times New Roman"/>
                    <w:szCs w:val="24"/>
                  </w:rPr>
                  <w:t>Senate Research Center</w:t>
                </w:r>
              </w:sdtContent>
            </w:sdt>
          </w:p>
        </w:tc>
        <w:tc>
          <w:tcPr>
            <w:tcW w:w="6858" w:type="dxa"/>
          </w:tcPr>
          <w:p w:rsidR="00220B4B" w:rsidRPr="00FF6471" w:rsidRDefault="00220B4B" w:rsidP="000F1DF9">
            <w:pPr>
              <w:jc w:val="right"/>
              <w:rPr>
                <w:rFonts w:cs="Times New Roman"/>
                <w:szCs w:val="24"/>
              </w:rPr>
            </w:pPr>
            <w:sdt>
              <w:sdtPr>
                <w:rPr>
                  <w:rFonts w:cs="Times New Roman"/>
                  <w:szCs w:val="24"/>
                </w:rPr>
                <w:alias w:val="Bill Number"/>
                <w:tag w:val="BillNumberOne"/>
                <w:id w:val="-410784069"/>
                <w:lock w:val="sdtContentLocked"/>
                <w:placeholder>
                  <w:docPart w:val="D85D848553284431A6FC7CBE21A1721D"/>
                </w:placeholder>
              </w:sdtPr>
              <w:sdtContent>
                <w:r>
                  <w:rPr>
                    <w:rFonts w:cs="Times New Roman"/>
                    <w:szCs w:val="24"/>
                  </w:rPr>
                  <w:t>S.B. 416</w:t>
                </w:r>
              </w:sdtContent>
            </w:sdt>
          </w:p>
        </w:tc>
      </w:tr>
      <w:tr w:rsidR="00220B4B" w:rsidTr="000F1DF9">
        <w:sdt>
          <w:sdtPr>
            <w:rPr>
              <w:rFonts w:cs="Times New Roman"/>
              <w:szCs w:val="24"/>
            </w:rPr>
            <w:alias w:val="TLCNumber"/>
            <w:tag w:val="TLCNumber"/>
            <w:id w:val="-542600604"/>
            <w:lock w:val="sdtLocked"/>
            <w:placeholder>
              <w:docPart w:val="52E226C39600481B99F738EDEE2203F1"/>
            </w:placeholder>
          </w:sdtPr>
          <w:sdtContent>
            <w:tc>
              <w:tcPr>
                <w:tcW w:w="2718" w:type="dxa"/>
              </w:tcPr>
              <w:p w:rsidR="00220B4B" w:rsidRPr="000F1DF9" w:rsidRDefault="00220B4B" w:rsidP="00C65088">
                <w:pPr>
                  <w:rPr>
                    <w:rFonts w:cs="Times New Roman"/>
                    <w:szCs w:val="24"/>
                  </w:rPr>
                </w:pPr>
                <w:r>
                  <w:rPr>
                    <w:rFonts w:cs="Times New Roman"/>
                    <w:szCs w:val="24"/>
                  </w:rPr>
                  <w:t>85R5875 YDB-F</w:t>
                </w:r>
              </w:p>
            </w:tc>
          </w:sdtContent>
        </w:sdt>
        <w:tc>
          <w:tcPr>
            <w:tcW w:w="6858" w:type="dxa"/>
          </w:tcPr>
          <w:p w:rsidR="00220B4B" w:rsidRPr="005C2A78" w:rsidRDefault="00220B4B" w:rsidP="006D756B">
            <w:pPr>
              <w:jc w:val="right"/>
              <w:rPr>
                <w:rFonts w:cs="Times New Roman"/>
                <w:szCs w:val="24"/>
              </w:rPr>
            </w:pPr>
            <w:sdt>
              <w:sdtPr>
                <w:rPr>
                  <w:rFonts w:cs="Times New Roman"/>
                  <w:szCs w:val="24"/>
                </w:rPr>
                <w:alias w:val="Author Label"/>
                <w:tag w:val="By"/>
                <w:id w:val="72399597"/>
                <w:lock w:val="sdtLocked"/>
                <w:placeholder>
                  <w:docPart w:val="59681E41D5CC43928E0556090A02EF64"/>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EAF19AD45A3E4DF1958104D0C2C3C9B5"/>
                </w:placeholder>
              </w:sdtPr>
              <w:sdtContent>
                <w:r>
                  <w:rPr>
                    <w:rFonts w:cs="Times New Roman"/>
                    <w:szCs w:val="24"/>
                  </w:rPr>
                  <w:t>Watson</w:t>
                </w:r>
              </w:sdtContent>
            </w:sdt>
            <w:sdt>
              <w:sdtPr>
                <w:rPr>
                  <w:rFonts w:cs="Times New Roman"/>
                  <w:szCs w:val="24"/>
                </w:rPr>
                <w:alias w:val="Sponsor"/>
                <w:tag w:val="Sponsor"/>
                <w:id w:val="-2039656131"/>
                <w:lock w:val="sdtContentLocked"/>
                <w:placeholder>
                  <w:docPart w:val="CB02BE33FA684559B6B4458F19840129"/>
                </w:placeholder>
                <w:showingPlcHdr/>
              </w:sdtPr>
              <w:sdtContent/>
            </w:sdt>
          </w:p>
        </w:tc>
      </w:tr>
      <w:tr w:rsidR="00220B4B" w:rsidTr="000F1DF9">
        <w:tc>
          <w:tcPr>
            <w:tcW w:w="2718" w:type="dxa"/>
          </w:tcPr>
          <w:p w:rsidR="00220B4B" w:rsidRPr="00BC7495" w:rsidRDefault="00220B4B" w:rsidP="000F1DF9">
            <w:pPr>
              <w:rPr>
                <w:rFonts w:cs="Times New Roman"/>
                <w:szCs w:val="24"/>
              </w:rPr>
            </w:pPr>
          </w:p>
        </w:tc>
        <w:sdt>
          <w:sdtPr>
            <w:rPr>
              <w:rFonts w:cs="Times New Roman"/>
              <w:szCs w:val="24"/>
            </w:rPr>
            <w:alias w:val="Committee"/>
            <w:tag w:val="Committee"/>
            <w:id w:val="1914272295"/>
            <w:lock w:val="sdtContentLocked"/>
            <w:placeholder>
              <w:docPart w:val="AE0C639A820143D4AFAAF69AF6874D11"/>
            </w:placeholder>
          </w:sdtPr>
          <w:sdtContent>
            <w:tc>
              <w:tcPr>
                <w:tcW w:w="6858" w:type="dxa"/>
              </w:tcPr>
              <w:p w:rsidR="00220B4B" w:rsidRPr="00FF6471" w:rsidRDefault="00220B4B" w:rsidP="000F1DF9">
                <w:pPr>
                  <w:jc w:val="right"/>
                  <w:rPr>
                    <w:rFonts w:cs="Times New Roman"/>
                    <w:szCs w:val="24"/>
                  </w:rPr>
                </w:pPr>
                <w:r>
                  <w:rPr>
                    <w:rFonts w:cs="Times New Roman"/>
                    <w:szCs w:val="24"/>
                  </w:rPr>
                  <w:t>State Affairs</w:t>
                </w:r>
              </w:p>
            </w:tc>
          </w:sdtContent>
        </w:sdt>
      </w:tr>
      <w:tr w:rsidR="00220B4B" w:rsidTr="000F1DF9">
        <w:tc>
          <w:tcPr>
            <w:tcW w:w="2718" w:type="dxa"/>
          </w:tcPr>
          <w:p w:rsidR="00220B4B" w:rsidRPr="00BC7495" w:rsidRDefault="00220B4B" w:rsidP="000F1DF9">
            <w:pPr>
              <w:rPr>
                <w:rFonts w:cs="Times New Roman"/>
                <w:szCs w:val="24"/>
              </w:rPr>
            </w:pPr>
          </w:p>
        </w:tc>
        <w:sdt>
          <w:sdtPr>
            <w:rPr>
              <w:rFonts w:cs="Times New Roman"/>
              <w:szCs w:val="24"/>
            </w:rPr>
            <w:alias w:val="Date"/>
            <w:tag w:val="DateContentControl"/>
            <w:id w:val="1178081906"/>
            <w:lock w:val="sdtLocked"/>
            <w:placeholder>
              <w:docPart w:val="B592DA25A09B48488DE90AB3C5FA9D72"/>
            </w:placeholder>
            <w:date w:fullDate="2017-03-21T00:00:00Z">
              <w:dateFormat w:val="M/d/yyyy"/>
              <w:lid w:val="en-US"/>
              <w:storeMappedDataAs w:val="dateTime"/>
              <w:calendar w:val="gregorian"/>
            </w:date>
          </w:sdtPr>
          <w:sdtContent>
            <w:tc>
              <w:tcPr>
                <w:tcW w:w="6858" w:type="dxa"/>
              </w:tcPr>
              <w:p w:rsidR="00220B4B" w:rsidRPr="00FF6471" w:rsidRDefault="00220B4B" w:rsidP="000F1DF9">
                <w:pPr>
                  <w:jc w:val="right"/>
                  <w:rPr>
                    <w:rFonts w:cs="Times New Roman"/>
                    <w:szCs w:val="24"/>
                  </w:rPr>
                </w:pPr>
                <w:r>
                  <w:rPr>
                    <w:rFonts w:cs="Times New Roman"/>
                    <w:szCs w:val="24"/>
                  </w:rPr>
                  <w:t>3/21/2017</w:t>
                </w:r>
              </w:p>
            </w:tc>
          </w:sdtContent>
        </w:sdt>
      </w:tr>
      <w:tr w:rsidR="00220B4B" w:rsidTr="000F1DF9">
        <w:tc>
          <w:tcPr>
            <w:tcW w:w="2718" w:type="dxa"/>
          </w:tcPr>
          <w:p w:rsidR="00220B4B" w:rsidRPr="00BC7495" w:rsidRDefault="00220B4B" w:rsidP="000F1DF9">
            <w:pPr>
              <w:rPr>
                <w:rFonts w:cs="Times New Roman"/>
                <w:szCs w:val="24"/>
              </w:rPr>
            </w:pPr>
          </w:p>
        </w:tc>
        <w:sdt>
          <w:sdtPr>
            <w:rPr>
              <w:rFonts w:cs="Times New Roman"/>
              <w:szCs w:val="24"/>
            </w:rPr>
            <w:alias w:val="BA Version"/>
            <w:tag w:val="BAVersion"/>
            <w:id w:val="-1685590809"/>
            <w:lock w:val="sdtContentLocked"/>
            <w:placeholder>
              <w:docPart w:val="F0B65AA502CF4861A0957C3322EA97C4"/>
            </w:placeholder>
          </w:sdtPr>
          <w:sdtContent>
            <w:tc>
              <w:tcPr>
                <w:tcW w:w="6858" w:type="dxa"/>
              </w:tcPr>
              <w:p w:rsidR="00220B4B" w:rsidRPr="00FF6471" w:rsidRDefault="00220B4B" w:rsidP="000F1DF9">
                <w:pPr>
                  <w:jc w:val="right"/>
                  <w:rPr>
                    <w:rFonts w:cs="Times New Roman"/>
                    <w:szCs w:val="24"/>
                  </w:rPr>
                </w:pPr>
                <w:r>
                  <w:rPr>
                    <w:rFonts w:cs="Times New Roman"/>
                    <w:szCs w:val="24"/>
                  </w:rPr>
                  <w:t>As Filed</w:t>
                </w:r>
              </w:p>
            </w:tc>
          </w:sdtContent>
        </w:sdt>
      </w:tr>
    </w:tbl>
    <w:p w:rsidR="00220B4B" w:rsidRPr="00FF6471" w:rsidRDefault="00220B4B" w:rsidP="000F1DF9">
      <w:pPr>
        <w:spacing w:after="0" w:line="240" w:lineRule="auto"/>
        <w:rPr>
          <w:rFonts w:cs="Times New Roman"/>
          <w:szCs w:val="24"/>
        </w:rPr>
      </w:pPr>
    </w:p>
    <w:p w:rsidR="00220B4B" w:rsidRPr="00FF6471" w:rsidRDefault="00220B4B" w:rsidP="000F1DF9">
      <w:pPr>
        <w:spacing w:after="0" w:line="240" w:lineRule="auto"/>
        <w:rPr>
          <w:rFonts w:cs="Times New Roman"/>
          <w:szCs w:val="24"/>
        </w:rPr>
      </w:pPr>
    </w:p>
    <w:p w:rsidR="00220B4B" w:rsidRPr="00FF6471" w:rsidRDefault="00220B4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8CB58966B6F48F2A75CCE837AAB358E"/>
        </w:placeholder>
      </w:sdtPr>
      <w:sdtContent>
        <w:p w:rsidR="00220B4B" w:rsidRDefault="00220B4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A599C96DF2844D4C9D548E10F2D09C7F"/>
        </w:placeholder>
      </w:sdtPr>
      <w:sdtContent>
        <w:p w:rsidR="00220B4B" w:rsidRDefault="00220B4B" w:rsidP="00220B4B">
          <w:pPr>
            <w:pStyle w:val="NormalWeb"/>
            <w:spacing w:before="0" w:beforeAutospacing="0" w:after="0" w:afterAutospacing="0"/>
            <w:jc w:val="both"/>
            <w:divId w:val="1099645439"/>
            <w:rPr>
              <w:rFonts w:eastAsia="Times New Roman"/>
              <w:bCs/>
            </w:rPr>
          </w:pPr>
        </w:p>
        <w:p w:rsidR="00220B4B" w:rsidRDefault="00220B4B" w:rsidP="00220B4B">
          <w:pPr>
            <w:pStyle w:val="NormalWeb"/>
            <w:spacing w:before="0" w:beforeAutospacing="0" w:after="0" w:afterAutospacing="0"/>
            <w:jc w:val="both"/>
            <w:divId w:val="1099645439"/>
            <w:rPr>
              <w:color w:val="000000"/>
            </w:rPr>
          </w:pPr>
          <w:r w:rsidRPr="00AD5687">
            <w:rPr>
              <w:color w:val="000000"/>
            </w:rPr>
            <w:t>The State Bar of Texas is a judicial agency of</w:t>
          </w:r>
          <w:r>
            <w:rPr>
              <w:color w:val="000000"/>
            </w:rPr>
            <w:t xml:space="preserve"> the state</w:t>
          </w:r>
          <w:r w:rsidRPr="00AD5687">
            <w:rPr>
              <w:color w:val="000000"/>
            </w:rPr>
            <w:t>, with statutory authority to discipline attorneys, provide continuing legal education, and aid the courts in the administration of justice. Every person who is licensed to practice law in Texas must join the State Bar.</w:t>
          </w:r>
        </w:p>
        <w:p w:rsidR="00220B4B" w:rsidRPr="00AD5687" w:rsidRDefault="00220B4B" w:rsidP="00220B4B">
          <w:pPr>
            <w:pStyle w:val="NormalWeb"/>
            <w:spacing w:before="0" w:beforeAutospacing="0" w:after="0" w:afterAutospacing="0"/>
            <w:jc w:val="both"/>
            <w:divId w:val="1099645439"/>
            <w:rPr>
              <w:color w:val="000000"/>
            </w:rPr>
          </w:pPr>
        </w:p>
        <w:p w:rsidR="00220B4B" w:rsidRDefault="00220B4B" w:rsidP="00220B4B">
          <w:pPr>
            <w:pStyle w:val="NormalWeb"/>
            <w:spacing w:before="0" w:beforeAutospacing="0" w:after="0" w:afterAutospacing="0"/>
            <w:jc w:val="both"/>
            <w:divId w:val="1099645439"/>
            <w:rPr>
              <w:color w:val="000000"/>
            </w:rPr>
          </w:pPr>
          <w:r w:rsidRPr="00AD5687">
            <w:rPr>
              <w:color w:val="000000"/>
            </w:rPr>
            <w:t>In accordance with current law, the State Bar is governed by a 46-member board of directors. Included among these directors are four minority member directors who are appointed by the State B</w:t>
          </w:r>
          <w:r>
            <w:rPr>
              <w:color w:val="000000"/>
            </w:rPr>
            <w:t>ar president and who must be "</w:t>
          </w:r>
          <w:r w:rsidRPr="00AD5687">
            <w:rPr>
              <w:color w:val="000000"/>
            </w:rPr>
            <w:t>female, African-American, Hispanic-American, Nativ</w:t>
          </w:r>
          <w:r>
            <w:rPr>
              <w:color w:val="000000"/>
            </w:rPr>
            <w:t xml:space="preserve">e American, or Asian American." </w:t>
          </w:r>
          <w:r w:rsidRPr="00AD5687">
            <w:rPr>
              <w:color w:val="000000"/>
            </w:rPr>
            <w:t>Experience has shown that these positions are essential to maintaining diversity on the board. However, a lawsuit was recently filed claiming that the minority</w:t>
          </w:r>
          <w:r>
            <w:rPr>
              <w:color w:val="000000"/>
            </w:rPr>
            <w:t xml:space="preserve"> member provisions violate the e</w:t>
          </w:r>
          <w:r w:rsidRPr="00AD5687">
            <w:rPr>
              <w:color w:val="000000"/>
            </w:rPr>
            <w:t>qual</w:t>
          </w:r>
          <w:r>
            <w:rPr>
              <w:color w:val="000000"/>
            </w:rPr>
            <w:t xml:space="preserve"> protection c</w:t>
          </w:r>
          <w:r w:rsidRPr="00AD5687">
            <w:rPr>
              <w:color w:val="000000"/>
            </w:rPr>
            <w:t>lause of the United States Constitution.</w:t>
          </w:r>
        </w:p>
        <w:p w:rsidR="00220B4B" w:rsidRPr="00AD5687" w:rsidRDefault="00220B4B" w:rsidP="00220B4B">
          <w:pPr>
            <w:pStyle w:val="NormalWeb"/>
            <w:spacing w:before="0" w:beforeAutospacing="0" w:after="0" w:afterAutospacing="0"/>
            <w:jc w:val="both"/>
            <w:divId w:val="1099645439"/>
            <w:rPr>
              <w:color w:val="000000"/>
            </w:rPr>
          </w:pPr>
        </w:p>
        <w:p w:rsidR="00220B4B" w:rsidRDefault="00220B4B" w:rsidP="00220B4B">
          <w:pPr>
            <w:pStyle w:val="NormalWeb"/>
            <w:spacing w:before="0" w:beforeAutospacing="0" w:after="0" w:afterAutospacing="0"/>
            <w:jc w:val="both"/>
            <w:divId w:val="1099645439"/>
            <w:rPr>
              <w:color w:val="000000"/>
            </w:rPr>
          </w:pPr>
          <w:r w:rsidRPr="00AD5687">
            <w:rPr>
              <w:color w:val="000000"/>
            </w:rPr>
            <w:t>S</w:t>
          </w:r>
          <w:r>
            <w:rPr>
              <w:color w:val="000000"/>
            </w:rPr>
            <w:t>.</w:t>
          </w:r>
          <w:r w:rsidRPr="00AD5687">
            <w:rPr>
              <w:color w:val="000000"/>
            </w:rPr>
            <w:t>B</w:t>
          </w:r>
          <w:r>
            <w:rPr>
              <w:color w:val="000000"/>
            </w:rPr>
            <w:t>.</w:t>
          </w:r>
          <w:r w:rsidRPr="00AD5687">
            <w:rPr>
              <w:color w:val="000000"/>
            </w:rPr>
            <w:t xml:space="preserve"> 416 addresses this concern by replacing the minority member directors with outreach directors who are not limited by gender, race, ethnicity, or any other characteristic. Instead, S</w:t>
          </w:r>
          <w:r>
            <w:rPr>
              <w:color w:val="000000"/>
            </w:rPr>
            <w:t>.</w:t>
          </w:r>
          <w:r w:rsidRPr="00AD5687">
            <w:rPr>
              <w:color w:val="000000"/>
            </w:rPr>
            <w:t>B</w:t>
          </w:r>
          <w:r>
            <w:rPr>
              <w:color w:val="000000"/>
            </w:rPr>
            <w:t>.</w:t>
          </w:r>
          <w:r w:rsidRPr="00AD5687">
            <w:rPr>
              <w:color w:val="000000"/>
            </w:rPr>
            <w:t xml:space="preserve"> 416 provides </w:t>
          </w:r>
          <w:r>
            <w:rPr>
              <w:color w:val="000000"/>
            </w:rPr>
            <w:t>that the State Bar p</w:t>
          </w:r>
          <w:r w:rsidRPr="00AD5687">
            <w:rPr>
              <w:color w:val="000000"/>
            </w:rPr>
            <w:t>resi</w:t>
          </w:r>
          <w:r>
            <w:rPr>
              <w:color w:val="000000"/>
            </w:rPr>
            <w:t>dent shall appoint directors "</w:t>
          </w:r>
          <w:r w:rsidRPr="00AD5687">
            <w:rPr>
              <w:color w:val="000000"/>
            </w:rPr>
            <w:t>who demonstrate the sensitivity and knowledge gained from experiences in the legal profession and community necessary to ensure the board represents the interests of attorneys from the varied backgrounds that compose the membership of the state bar, including members of historically underrepresented group</w:t>
          </w:r>
          <w:r>
            <w:rPr>
              <w:color w:val="000000"/>
            </w:rPr>
            <w:t>s."</w:t>
          </w:r>
        </w:p>
        <w:p w:rsidR="00220B4B" w:rsidRPr="00AD5687" w:rsidRDefault="00220B4B" w:rsidP="00220B4B">
          <w:pPr>
            <w:pStyle w:val="NormalWeb"/>
            <w:spacing w:before="0" w:beforeAutospacing="0" w:after="0" w:afterAutospacing="0"/>
            <w:jc w:val="both"/>
            <w:divId w:val="1099645439"/>
            <w:rPr>
              <w:color w:val="000000"/>
            </w:rPr>
          </w:pPr>
          <w:r w:rsidRPr="00AD5687">
            <w:rPr>
              <w:color w:val="000000"/>
            </w:rPr>
            <w:t xml:space="preserve"> </w:t>
          </w:r>
        </w:p>
        <w:p w:rsidR="00220B4B" w:rsidRDefault="00220B4B" w:rsidP="00220B4B">
          <w:pPr>
            <w:pStyle w:val="NormalWeb"/>
            <w:spacing w:before="0" w:beforeAutospacing="0" w:after="0" w:afterAutospacing="0"/>
            <w:jc w:val="both"/>
            <w:divId w:val="1099645439"/>
            <w:rPr>
              <w:color w:val="000000"/>
            </w:rPr>
          </w:pPr>
          <w:r>
            <w:rPr>
              <w:color w:val="000000"/>
            </w:rPr>
            <w:t>"</w:t>
          </w:r>
          <w:r w:rsidRPr="00AD5687">
            <w:rPr>
              <w:color w:val="000000"/>
            </w:rPr>
            <w:t>Histor</w:t>
          </w:r>
          <w:r>
            <w:rPr>
              <w:color w:val="000000"/>
            </w:rPr>
            <w:t xml:space="preserve">ically underrepresented groups" </w:t>
          </w:r>
          <w:r w:rsidRPr="00AD5687">
            <w:rPr>
              <w:color w:val="000000"/>
            </w:rPr>
            <w:t>is intentionally left undefined in S</w:t>
          </w:r>
          <w:r>
            <w:rPr>
              <w:color w:val="000000"/>
            </w:rPr>
            <w:t>.</w:t>
          </w:r>
          <w:r w:rsidRPr="00AD5687">
            <w:rPr>
              <w:color w:val="000000"/>
            </w:rPr>
            <w:t>B</w:t>
          </w:r>
          <w:r>
            <w:rPr>
              <w:color w:val="000000"/>
            </w:rPr>
            <w:t>.</w:t>
          </w:r>
          <w:r w:rsidRPr="00AD5687">
            <w:rPr>
              <w:color w:val="000000"/>
            </w:rPr>
            <w:t xml:space="preserve"> 416 so that applicants are free to identify any group that has not received adequate representation. A group could be based on various characteristics including race, gender, practice type, or even geographic setting. </w:t>
          </w:r>
        </w:p>
        <w:p w:rsidR="00220B4B" w:rsidRPr="00AD5687" w:rsidRDefault="00220B4B" w:rsidP="00220B4B">
          <w:pPr>
            <w:pStyle w:val="NormalWeb"/>
            <w:spacing w:before="0" w:beforeAutospacing="0" w:after="0" w:afterAutospacing="0"/>
            <w:jc w:val="both"/>
            <w:divId w:val="1099645439"/>
            <w:rPr>
              <w:color w:val="000000"/>
            </w:rPr>
          </w:pPr>
        </w:p>
        <w:p w:rsidR="00220B4B" w:rsidRPr="00AD5687" w:rsidRDefault="00220B4B" w:rsidP="00220B4B">
          <w:pPr>
            <w:pStyle w:val="NormalWeb"/>
            <w:spacing w:before="0" w:beforeAutospacing="0" w:after="0" w:afterAutospacing="0"/>
            <w:jc w:val="both"/>
            <w:divId w:val="1099645439"/>
            <w:rPr>
              <w:color w:val="000000"/>
            </w:rPr>
          </w:pPr>
          <w:r w:rsidRPr="00AD5687">
            <w:rPr>
              <w:color w:val="000000"/>
            </w:rPr>
            <w:t>Taken together, the provisions in S</w:t>
          </w:r>
          <w:r>
            <w:rPr>
              <w:color w:val="000000"/>
            </w:rPr>
            <w:t>.</w:t>
          </w:r>
          <w:r w:rsidRPr="00AD5687">
            <w:rPr>
              <w:color w:val="000000"/>
            </w:rPr>
            <w:t>B</w:t>
          </w:r>
          <w:r>
            <w:rPr>
              <w:color w:val="000000"/>
            </w:rPr>
            <w:t>.</w:t>
          </w:r>
          <w:r w:rsidRPr="00AD5687">
            <w:rPr>
              <w:color w:val="000000"/>
            </w:rPr>
            <w:t xml:space="preserve"> 416 alleviate constitutional concerns while ensuring members from a variety of backgrounds are represented on the State Bar Board, which regulates all of the attorneys who are licensed to practice in Texas.</w:t>
          </w:r>
        </w:p>
        <w:p w:rsidR="00220B4B" w:rsidRPr="00D70925" w:rsidRDefault="00220B4B" w:rsidP="00220B4B">
          <w:pPr>
            <w:spacing w:after="0" w:line="240" w:lineRule="auto"/>
            <w:jc w:val="both"/>
            <w:rPr>
              <w:rFonts w:eastAsia="Times New Roman" w:cs="Times New Roman"/>
              <w:bCs/>
              <w:szCs w:val="24"/>
            </w:rPr>
          </w:pPr>
        </w:p>
      </w:sdtContent>
    </w:sdt>
    <w:p w:rsidR="00220B4B" w:rsidRDefault="00220B4B"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416 </w:t>
      </w:r>
      <w:bookmarkStart w:id="1" w:name="AmendsCurrentLaw"/>
      <w:bookmarkEnd w:id="1"/>
      <w:r>
        <w:rPr>
          <w:rFonts w:cs="Times New Roman"/>
          <w:szCs w:val="24"/>
        </w:rPr>
        <w:t>amends current law relating to the composition of the board of directors of the State Bar of Texas.</w:t>
      </w:r>
    </w:p>
    <w:p w:rsidR="00220B4B" w:rsidRPr="009B1C9E" w:rsidRDefault="00220B4B" w:rsidP="000F1DF9">
      <w:pPr>
        <w:spacing w:after="0" w:line="240" w:lineRule="auto"/>
        <w:jc w:val="both"/>
        <w:rPr>
          <w:rFonts w:eastAsia="Times New Roman" w:cs="Times New Roman"/>
          <w:szCs w:val="24"/>
        </w:rPr>
      </w:pPr>
    </w:p>
    <w:p w:rsidR="00220B4B" w:rsidRPr="005C2A78" w:rsidRDefault="00220B4B"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lock w:val="sdtContentLocked"/>
          <w:placeholder>
            <w:docPart w:val="36CF2F07986C4812B7106FB061A15367"/>
          </w:placeholder>
        </w:sdtPr>
        <w:sdtContent>
          <w:r>
            <w:rPr>
              <w:rFonts w:eastAsia="Times New Roman" w:cs="Times New Roman"/>
              <w:b/>
              <w:szCs w:val="24"/>
              <w:u w:val="single"/>
            </w:rPr>
            <w:t>RULEMAKING AUTHORITY</w:t>
          </w:r>
        </w:sdtContent>
      </w:sdt>
    </w:p>
    <w:p w:rsidR="00220B4B" w:rsidRPr="006529C4" w:rsidRDefault="00220B4B" w:rsidP="00774EC7">
      <w:pPr>
        <w:spacing w:after="0" w:line="240" w:lineRule="auto"/>
        <w:jc w:val="both"/>
        <w:rPr>
          <w:rFonts w:cs="Times New Roman"/>
          <w:szCs w:val="24"/>
        </w:rPr>
      </w:pPr>
    </w:p>
    <w:p w:rsidR="00220B4B" w:rsidRPr="006529C4" w:rsidRDefault="00220B4B"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220B4B" w:rsidRPr="006529C4" w:rsidRDefault="00220B4B" w:rsidP="00774EC7">
      <w:pPr>
        <w:spacing w:after="0" w:line="240" w:lineRule="auto"/>
        <w:jc w:val="both"/>
        <w:rPr>
          <w:rFonts w:cs="Times New Roman"/>
          <w:szCs w:val="24"/>
        </w:rPr>
      </w:pPr>
    </w:p>
    <w:p w:rsidR="00220B4B" w:rsidRPr="005C2A78" w:rsidRDefault="00220B4B"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lock w:val="sdtContentLocked"/>
          <w:placeholder>
            <w:docPart w:val="672981AFB21B4822901ED5D39B963E21"/>
          </w:placeholder>
        </w:sdtPr>
        <w:sdtContent>
          <w:r>
            <w:rPr>
              <w:rFonts w:eastAsia="Times New Roman" w:cs="Times New Roman"/>
              <w:b/>
              <w:szCs w:val="24"/>
              <w:u w:val="single"/>
            </w:rPr>
            <w:t>SECTION BY SECTION ANALYSIS</w:t>
          </w:r>
        </w:sdtContent>
      </w:sdt>
    </w:p>
    <w:p w:rsidR="00220B4B" w:rsidRPr="005C2A78" w:rsidRDefault="00220B4B" w:rsidP="000F1DF9">
      <w:pPr>
        <w:spacing w:after="0" w:line="240" w:lineRule="auto"/>
        <w:jc w:val="both"/>
        <w:rPr>
          <w:rFonts w:eastAsia="Times New Roman" w:cs="Times New Roman"/>
          <w:szCs w:val="24"/>
        </w:rPr>
      </w:pPr>
    </w:p>
    <w:p w:rsidR="00220B4B" w:rsidRDefault="00220B4B"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81.020, Government Code, by amending Subsections (b) and (d) and adding Subsection (e), as follows:</w:t>
      </w:r>
    </w:p>
    <w:p w:rsidR="00220B4B" w:rsidRDefault="00220B4B" w:rsidP="000F1DF9">
      <w:pPr>
        <w:spacing w:after="0" w:line="240" w:lineRule="auto"/>
        <w:jc w:val="both"/>
        <w:rPr>
          <w:rFonts w:eastAsia="Times New Roman" w:cs="Times New Roman"/>
          <w:szCs w:val="24"/>
        </w:rPr>
      </w:pPr>
    </w:p>
    <w:p w:rsidR="00220B4B" w:rsidRDefault="00220B4B" w:rsidP="009B1C9E">
      <w:pPr>
        <w:spacing w:after="0" w:line="240" w:lineRule="auto"/>
        <w:ind w:left="720"/>
        <w:jc w:val="both"/>
        <w:rPr>
          <w:rFonts w:eastAsia="Times New Roman" w:cs="Times New Roman"/>
          <w:szCs w:val="24"/>
        </w:rPr>
      </w:pPr>
      <w:r>
        <w:rPr>
          <w:rFonts w:eastAsia="Times New Roman" w:cs="Times New Roman"/>
          <w:szCs w:val="24"/>
        </w:rPr>
        <w:t>(b) Provides that the board of directors of the State Bar of Texas (board) is composed of:</w:t>
      </w:r>
    </w:p>
    <w:p w:rsidR="00220B4B" w:rsidRDefault="00220B4B" w:rsidP="009B1C9E">
      <w:pPr>
        <w:spacing w:after="0" w:line="240" w:lineRule="auto"/>
        <w:ind w:left="720"/>
        <w:jc w:val="both"/>
        <w:rPr>
          <w:rFonts w:eastAsia="Times New Roman" w:cs="Times New Roman"/>
          <w:szCs w:val="24"/>
        </w:rPr>
      </w:pPr>
    </w:p>
    <w:p w:rsidR="00220B4B" w:rsidRDefault="00220B4B" w:rsidP="009B1C9E">
      <w:pPr>
        <w:spacing w:after="0" w:line="240" w:lineRule="auto"/>
        <w:ind w:left="2160"/>
        <w:jc w:val="both"/>
        <w:rPr>
          <w:rFonts w:eastAsia="Times New Roman" w:cs="Times New Roman"/>
          <w:szCs w:val="24"/>
        </w:rPr>
      </w:pPr>
      <w:r>
        <w:rPr>
          <w:rFonts w:eastAsia="Times New Roman" w:cs="Times New Roman"/>
          <w:szCs w:val="24"/>
        </w:rPr>
        <w:t>(1)-(4) Makes no changes to these subdivisions.</w:t>
      </w:r>
    </w:p>
    <w:p w:rsidR="00220B4B" w:rsidRDefault="00220B4B" w:rsidP="009B1C9E">
      <w:pPr>
        <w:spacing w:after="0" w:line="240" w:lineRule="auto"/>
        <w:ind w:left="1440"/>
        <w:jc w:val="both"/>
        <w:rPr>
          <w:rFonts w:eastAsia="Times New Roman" w:cs="Times New Roman"/>
          <w:szCs w:val="24"/>
        </w:rPr>
      </w:pPr>
    </w:p>
    <w:p w:rsidR="00220B4B" w:rsidRDefault="00220B4B" w:rsidP="009B1C9E">
      <w:pPr>
        <w:spacing w:after="0" w:line="240" w:lineRule="auto"/>
        <w:ind w:left="2160"/>
        <w:jc w:val="both"/>
        <w:rPr>
          <w:rFonts w:eastAsia="Times New Roman" w:cs="Times New Roman"/>
          <w:szCs w:val="24"/>
        </w:rPr>
      </w:pPr>
      <w:r>
        <w:rPr>
          <w:rFonts w:eastAsia="Times New Roman" w:cs="Times New Roman"/>
          <w:szCs w:val="24"/>
        </w:rPr>
        <w:t>(5) four outreach directors appointed by the president as provided by Subsections (d) and (e), rather than four minority member directors appointed by the president as provided by Subsection (d).</w:t>
      </w:r>
    </w:p>
    <w:p w:rsidR="00220B4B" w:rsidRDefault="00220B4B" w:rsidP="009B1C9E">
      <w:pPr>
        <w:spacing w:after="0" w:line="240" w:lineRule="auto"/>
        <w:jc w:val="both"/>
        <w:rPr>
          <w:rFonts w:eastAsia="Times New Roman" w:cs="Times New Roman"/>
          <w:szCs w:val="24"/>
        </w:rPr>
      </w:pPr>
    </w:p>
    <w:p w:rsidR="00220B4B" w:rsidRDefault="00220B4B" w:rsidP="009B1C9E">
      <w:pPr>
        <w:spacing w:after="0" w:line="240" w:lineRule="auto"/>
        <w:ind w:left="1440"/>
        <w:jc w:val="both"/>
        <w:rPr>
          <w:rFonts w:eastAsia="Times New Roman" w:cs="Times New Roman"/>
          <w:szCs w:val="24"/>
        </w:rPr>
      </w:pPr>
      <w:r>
        <w:rPr>
          <w:rFonts w:eastAsia="Times New Roman" w:cs="Times New Roman"/>
          <w:szCs w:val="24"/>
        </w:rPr>
        <w:t>(d) Provides that the president of the state bar appoints the outreach directors, rather than minority member directors, subject to confirmation by the board of directors. Requires the president to, rather than requiring the president to attempt to, in making appointments under this subsection, appoint directors who demonstrate the sensitivity and knowledge gained from experiences in the legal profession and community necessary to ensure the board represents the interests of attorneys from the varied backgrounds that compose the membership of the state bar, including members of historically underrepresent groups, rather than members of the different minority groups listed in Section 81.002(7).</w:t>
      </w:r>
    </w:p>
    <w:p w:rsidR="00220B4B" w:rsidRDefault="00220B4B" w:rsidP="009B1C9E">
      <w:pPr>
        <w:spacing w:after="0" w:line="240" w:lineRule="auto"/>
        <w:ind w:left="1440"/>
        <w:jc w:val="both"/>
        <w:rPr>
          <w:rFonts w:eastAsia="Times New Roman" w:cs="Times New Roman"/>
          <w:szCs w:val="24"/>
        </w:rPr>
      </w:pPr>
    </w:p>
    <w:p w:rsidR="00220B4B" w:rsidRPr="005C2A78" w:rsidRDefault="00220B4B" w:rsidP="005446B4">
      <w:pPr>
        <w:spacing w:after="0" w:line="240" w:lineRule="auto"/>
        <w:ind w:left="1440"/>
        <w:jc w:val="both"/>
        <w:rPr>
          <w:rFonts w:eastAsia="Times New Roman" w:cs="Times New Roman"/>
          <w:szCs w:val="24"/>
        </w:rPr>
      </w:pPr>
      <w:r>
        <w:rPr>
          <w:rFonts w:eastAsia="Times New Roman" w:cs="Times New Roman"/>
          <w:szCs w:val="24"/>
        </w:rPr>
        <w:t xml:space="preserve">(e) Provides that outreach directors serve three-year terms. Provides that to be eligible for appointment as an outreach director, at the time of appointment, a person may not be serving as an elected director or an outreach director. Deletes existing text providing that minority member directors serve three-year terms. Deletes existing text providing that, to be eligible for appointment as a minority member director, a person must be a minority member of the bar and not be serving as an elected director at the time of appointment and not be serving as a minority member director at the time of appointment. Makes nonsubstantive changes. </w:t>
      </w:r>
    </w:p>
    <w:p w:rsidR="00220B4B" w:rsidRPr="005C2A78" w:rsidRDefault="00220B4B" w:rsidP="000F1DF9">
      <w:pPr>
        <w:spacing w:after="0" w:line="240" w:lineRule="auto"/>
        <w:jc w:val="both"/>
        <w:rPr>
          <w:rFonts w:eastAsia="Times New Roman" w:cs="Times New Roman"/>
          <w:szCs w:val="24"/>
        </w:rPr>
      </w:pPr>
    </w:p>
    <w:p w:rsidR="00220B4B" w:rsidRPr="005C2A78" w:rsidRDefault="00220B4B"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Repealer: Section 81.002(7) (relating to the definition of "minority member"), Government Code. </w:t>
      </w:r>
    </w:p>
    <w:p w:rsidR="00220B4B" w:rsidRPr="005C2A78" w:rsidRDefault="00220B4B" w:rsidP="000F1DF9">
      <w:pPr>
        <w:spacing w:after="0" w:line="240" w:lineRule="auto"/>
        <w:jc w:val="both"/>
        <w:rPr>
          <w:rFonts w:eastAsia="Times New Roman" w:cs="Times New Roman"/>
          <w:szCs w:val="24"/>
        </w:rPr>
      </w:pPr>
    </w:p>
    <w:p w:rsidR="00220B4B" w:rsidRDefault="00220B4B"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Provides that, notwithstanding Section 81.020, Government Code, as amended by this act, a minority member serving on the board of directors of the State Bar of Texas on the effective date of this Act continues to serve the term to which the director was appointed. Requires, on expiration of the director's term, the president of State Bar of Texas to appoint an outreach director as required by Section 81.020, Government Code, as amended by this Act. </w:t>
      </w:r>
    </w:p>
    <w:p w:rsidR="00220B4B" w:rsidRDefault="00220B4B" w:rsidP="000F1DF9">
      <w:pPr>
        <w:spacing w:after="0" w:line="240" w:lineRule="auto"/>
        <w:jc w:val="both"/>
        <w:rPr>
          <w:rFonts w:eastAsia="Times New Roman" w:cs="Times New Roman"/>
          <w:szCs w:val="24"/>
        </w:rPr>
      </w:pPr>
    </w:p>
    <w:p w:rsidR="00986E9F" w:rsidRPr="00220B4B" w:rsidRDefault="00220B4B" w:rsidP="00220B4B">
      <w:pPr>
        <w:spacing w:after="0" w:line="240" w:lineRule="auto"/>
        <w:jc w:val="both"/>
        <w:rPr>
          <w:rFonts w:eastAsia="Times New Roman" w:cs="Times New Roman"/>
          <w:szCs w:val="24"/>
        </w:rPr>
      </w:pPr>
      <w:r>
        <w:rPr>
          <w:rFonts w:eastAsia="Times New Roman" w:cs="Times New Roman"/>
          <w:szCs w:val="24"/>
        </w:rPr>
        <w:t>SECTION 4. Effective date: upon passage or September 1, 2017.</w:t>
      </w:r>
    </w:p>
    <w:sectPr w:rsidR="00986E9F" w:rsidRPr="00220B4B"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F74" w:rsidRDefault="00B53F74" w:rsidP="000F1DF9">
      <w:pPr>
        <w:spacing w:after="0" w:line="240" w:lineRule="auto"/>
      </w:pPr>
      <w:r>
        <w:separator/>
      </w:r>
    </w:p>
  </w:endnote>
  <w:endnote w:type="continuationSeparator" w:id="0">
    <w:p w:rsidR="00B53F74" w:rsidRDefault="00B53F74"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B53F74"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220B4B">
                <w:rPr>
                  <w:sz w:val="20"/>
                  <w:szCs w:val="20"/>
                </w:rPr>
                <w:t>ZEA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220B4B">
                <w:rPr>
                  <w:sz w:val="20"/>
                  <w:szCs w:val="20"/>
                </w:rPr>
                <w:t>S.B. 416</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220B4B">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B53F74"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220B4B">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220B4B">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F74" w:rsidRDefault="00B53F74" w:rsidP="000F1DF9">
      <w:pPr>
        <w:spacing w:after="0" w:line="240" w:lineRule="auto"/>
      </w:pPr>
      <w:r>
        <w:separator/>
      </w:r>
    </w:p>
  </w:footnote>
  <w:footnote w:type="continuationSeparator" w:id="0">
    <w:p w:rsidR="00B53F74" w:rsidRDefault="00B53F74"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20B4B"/>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53F74"/>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220B4B"/>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220B4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64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AD07CA" w:rsidP="00AD07CA">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56B643DF46A14F4CA6CD24212F4E8AD9"/>
        <w:category>
          <w:name w:val="General"/>
          <w:gallery w:val="placeholder"/>
        </w:category>
        <w:types>
          <w:type w:val="bbPlcHdr"/>
        </w:types>
        <w:behaviors>
          <w:behavior w:val="content"/>
        </w:behaviors>
        <w:guid w:val="{6CDD8545-ABF9-4FFC-A303-9E82DB6654B4}"/>
      </w:docPartPr>
      <w:docPartBody>
        <w:p w:rsidR="00000000" w:rsidRDefault="00780F47"/>
      </w:docPartBody>
    </w:docPart>
    <w:docPart>
      <w:docPartPr>
        <w:name w:val="22394154E12540EA88B6AF6C96219F04"/>
        <w:category>
          <w:name w:val="General"/>
          <w:gallery w:val="placeholder"/>
        </w:category>
        <w:types>
          <w:type w:val="bbPlcHdr"/>
        </w:types>
        <w:behaviors>
          <w:behavior w:val="content"/>
        </w:behaviors>
        <w:guid w:val="{638B777C-075F-4B86-B3C2-97319369D900}"/>
      </w:docPartPr>
      <w:docPartBody>
        <w:p w:rsidR="00000000" w:rsidRDefault="00780F47"/>
      </w:docPartBody>
    </w:docPart>
    <w:docPart>
      <w:docPartPr>
        <w:name w:val="D85D848553284431A6FC7CBE21A1721D"/>
        <w:category>
          <w:name w:val="General"/>
          <w:gallery w:val="placeholder"/>
        </w:category>
        <w:types>
          <w:type w:val="bbPlcHdr"/>
        </w:types>
        <w:behaviors>
          <w:behavior w:val="content"/>
        </w:behaviors>
        <w:guid w:val="{1BF2822B-2071-4833-8C09-44D8DE666AFA}"/>
      </w:docPartPr>
      <w:docPartBody>
        <w:p w:rsidR="00000000" w:rsidRDefault="00780F47"/>
      </w:docPartBody>
    </w:docPart>
    <w:docPart>
      <w:docPartPr>
        <w:name w:val="52E226C39600481B99F738EDEE2203F1"/>
        <w:category>
          <w:name w:val="General"/>
          <w:gallery w:val="placeholder"/>
        </w:category>
        <w:types>
          <w:type w:val="bbPlcHdr"/>
        </w:types>
        <w:behaviors>
          <w:behavior w:val="content"/>
        </w:behaviors>
        <w:guid w:val="{E81654AF-F8AC-4456-9415-47C1566605D9}"/>
      </w:docPartPr>
      <w:docPartBody>
        <w:p w:rsidR="00000000" w:rsidRDefault="00780F47"/>
      </w:docPartBody>
    </w:docPart>
    <w:docPart>
      <w:docPartPr>
        <w:name w:val="59681E41D5CC43928E0556090A02EF64"/>
        <w:category>
          <w:name w:val="General"/>
          <w:gallery w:val="placeholder"/>
        </w:category>
        <w:types>
          <w:type w:val="bbPlcHdr"/>
        </w:types>
        <w:behaviors>
          <w:behavior w:val="content"/>
        </w:behaviors>
        <w:guid w:val="{9DD91D18-677A-4CE8-955D-AADDB812F11F}"/>
      </w:docPartPr>
      <w:docPartBody>
        <w:p w:rsidR="00000000" w:rsidRDefault="00780F47"/>
      </w:docPartBody>
    </w:docPart>
    <w:docPart>
      <w:docPartPr>
        <w:name w:val="EAF19AD45A3E4DF1958104D0C2C3C9B5"/>
        <w:category>
          <w:name w:val="General"/>
          <w:gallery w:val="placeholder"/>
        </w:category>
        <w:types>
          <w:type w:val="bbPlcHdr"/>
        </w:types>
        <w:behaviors>
          <w:behavior w:val="content"/>
        </w:behaviors>
        <w:guid w:val="{79270D98-7D76-457E-8FE5-7A201F832EC0}"/>
      </w:docPartPr>
      <w:docPartBody>
        <w:p w:rsidR="00000000" w:rsidRDefault="00780F47"/>
      </w:docPartBody>
    </w:docPart>
    <w:docPart>
      <w:docPartPr>
        <w:name w:val="CB02BE33FA684559B6B4458F19840129"/>
        <w:category>
          <w:name w:val="General"/>
          <w:gallery w:val="placeholder"/>
        </w:category>
        <w:types>
          <w:type w:val="bbPlcHdr"/>
        </w:types>
        <w:behaviors>
          <w:behavior w:val="content"/>
        </w:behaviors>
        <w:guid w:val="{C044F0A0-1015-4350-A54E-C14E15728BEB}"/>
      </w:docPartPr>
      <w:docPartBody>
        <w:p w:rsidR="00000000" w:rsidRDefault="00780F47"/>
      </w:docPartBody>
    </w:docPart>
    <w:docPart>
      <w:docPartPr>
        <w:name w:val="AE0C639A820143D4AFAAF69AF6874D11"/>
        <w:category>
          <w:name w:val="General"/>
          <w:gallery w:val="placeholder"/>
        </w:category>
        <w:types>
          <w:type w:val="bbPlcHdr"/>
        </w:types>
        <w:behaviors>
          <w:behavior w:val="content"/>
        </w:behaviors>
        <w:guid w:val="{0B107EF7-3E82-4D1F-8BE6-5BFC92443CD7}"/>
      </w:docPartPr>
      <w:docPartBody>
        <w:p w:rsidR="00000000" w:rsidRDefault="00780F47"/>
      </w:docPartBody>
    </w:docPart>
    <w:docPart>
      <w:docPartPr>
        <w:name w:val="B592DA25A09B48488DE90AB3C5FA9D72"/>
        <w:category>
          <w:name w:val="General"/>
          <w:gallery w:val="placeholder"/>
        </w:category>
        <w:types>
          <w:type w:val="bbPlcHdr"/>
        </w:types>
        <w:behaviors>
          <w:behavior w:val="content"/>
        </w:behaviors>
        <w:guid w:val="{4929328E-232A-4FB8-AA40-B7B629F6437B}"/>
      </w:docPartPr>
      <w:docPartBody>
        <w:p w:rsidR="00000000" w:rsidRDefault="00AD07CA" w:rsidP="00AD07CA">
          <w:pPr>
            <w:pStyle w:val="B592DA25A09B48488DE90AB3C5FA9D72"/>
          </w:pPr>
          <w:r w:rsidRPr="00A30DD1">
            <w:rPr>
              <w:rStyle w:val="PlaceholderText"/>
            </w:rPr>
            <w:t>Click here to enter a date.</w:t>
          </w:r>
        </w:p>
      </w:docPartBody>
    </w:docPart>
    <w:docPart>
      <w:docPartPr>
        <w:name w:val="F0B65AA502CF4861A0957C3322EA97C4"/>
        <w:category>
          <w:name w:val="General"/>
          <w:gallery w:val="placeholder"/>
        </w:category>
        <w:types>
          <w:type w:val="bbPlcHdr"/>
        </w:types>
        <w:behaviors>
          <w:behavior w:val="content"/>
        </w:behaviors>
        <w:guid w:val="{F1C29F3F-E3B6-4231-AD8C-10C50160B892}"/>
      </w:docPartPr>
      <w:docPartBody>
        <w:p w:rsidR="00000000" w:rsidRDefault="00780F47"/>
      </w:docPartBody>
    </w:docPart>
    <w:docPart>
      <w:docPartPr>
        <w:name w:val="C8CB58966B6F48F2A75CCE837AAB358E"/>
        <w:category>
          <w:name w:val="General"/>
          <w:gallery w:val="placeholder"/>
        </w:category>
        <w:types>
          <w:type w:val="bbPlcHdr"/>
        </w:types>
        <w:behaviors>
          <w:behavior w:val="content"/>
        </w:behaviors>
        <w:guid w:val="{0F73C539-2A0D-4A9C-AA1C-FBA547A729E7}"/>
      </w:docPartPr>
      <w:docPartBody>
        <w:p w:rsidR="00000000" w:rsidRDefault="00780F47"/>
      </w:docPartBody>
    </w:docPart>
    <w:docPart>
      <w:docPartPr>
        <w:name w:val="A599C96DF2844D4C9D548E10F2D09C7F"/>
        <w:category>
          <w:name w:val="General"/>
          <w:gallery w:val="placeholder"/>
        </w:category>
        <w:types>
          <w:type w:val="bbPlcHdr"/>
        </w:types>
        <w:behaviors>
          <w:behavior w:val="content"/>
        </w:behaviors>
        <w:guid w:val="{01B1B3FA-47AE-4BC1-8E3C-A635D68A5A98}"/>
      </w:docPartPr>
      <w:docPartBody>
        <w:p w:rsidR="00000000" w:rsidRDefault="00AD07CA" w:rsidP="00AD07CA">
          <w:pPr>
            <w:pStyle w:val="A599C96DF2844D4C9D548E10F2D09C7F"/>
          </w:pPr>
          <w:r>
            <w:rPr>
              <w:rFonts w:eastAsia="Times New Roman" w:cs="Times New Roman"/>
              <w:bCs/>
              <w:szCs w:val="24"/>
            </w:rPr>
            <w:t xml:space="preserve"> </w:t>
          </w:r>
        </w:p>
      </w:docPartBody>
    </w:docPart>
    <w:docPart>
      <w:docPartPr>
        <w:name w:val="36CF2F07986C4812B7106FB061A15367"/>
        <w:category>
          <w:name w:val="General"/>
          <w:gallery w:val="placeholder"/>
        </w:category>
        <w:types>
          <w:type w:val="bbPlcHdr"/>
        </w:types>
        <w:behaviors>
          <w:behavior w:val="content"/>
        </w:behaviors>
        <w:guid w:val="{D0E1B2A0-9EFC-4D85-9FD3-7BB7CD89FBEE}"/>
      </w:docPartPr>
      <w:docPartBody>
        <w:p w:rsidR="00000000" w:rsidRDefault="00780F47"/>
      </w:docPartBody>
    </w:docPart>
    <w:docPart>
      <w:docPartPr>
        <w:name w:val="672981AFB21B4822901ED5D39B963E21"/>
        <w:category>
          <w:name w:val="General"/>
          <w:gallery w:val="placeholder"/>
        </w:category>
        <w:types>
          <w:type w:val="bbPlcHdr"/>
        </w:types>
        <w:behaviors>
          <w:behavior w:val="content"/>
        </w:behaviors>
        <w:guid w:val="{E24F6E32-4B01-4F17-B290-B0A10B8AD815}"/>
      </w:docPartPr>
      <w:docPartBody>
        <w:p w:rsidR="00000000" w:rsidRDefault="00780F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80F47"/>
    <w:rsid w:val="008C55F7"/>
    <w:rsid w:val="0090598B"/>
    <w:rsid w:val="00984D6C"/>
    <w:rsid w:val="00A54AD6"/>
    <w:rsid w:val="00A57564"/>
    <w:rsid w:val="00AD07CA"/>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07C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D07CA"/>
    <w:rPr>
      <w:rFonts w:ascii="Times New Roman" w:hAnsi="Times New Roman"/>
      <w:sz w:val="24"/>
    </w:rPr>
  </w:style>
  <w:style w:type="paragraph" w:customStyle="1" w:styleId="487D89B4F8B34DB4967D41FE18F7F88D7">
    <w:name w:val="487D89B4F8B34DB4967D41FE18F7F88D7"/>
    <w:rsid w:val="00AD07CA"/>
    <w:rPr>
      <w:rFonts w:ascii="Times New Roman" w:hAnsi="Times New Roman"/>
      <w:sz w:val="24"/>
    </w:rPr>
  </w:style>
  <w:style w:type="paragraph" w:customStyle="1" w:styleId="AE2570ED5D764CD7AF9686706F550F4620">
    <w:name w:val="AE2570ED5D764CD7AF9686706F550F4620"/>
    <w:rsid w:val="00AD07CA"/>
    <w:pPr>
      <w:tabs>
        <w:tab w:val="center" w:pos="4680"/>
        <w:tab w:val="right" w:pos="9360"/>
      </w:tabs>
      <w:spacing w:after="0" w:line="240" w:lineRule="auto"/>
    </w:pPr>
    <w:rPr>
      <w:rFonts w:ascii="Times New Roman" w:hAnsi="Times New Roman"/>
      <w:sz w:val="24"/>
    </w:rPr>
  </w:style>
  <w:style w:type="paragraph" w:customStyle="1" w:styleId="B592DA25A09B48488DE90AB3C5FA9D72">
    <w:name w:val="B592DA25A09B48488DE90AB3C5FA9D72"/>
    <w:rsid w:val="00AD07CA"/>
  </w:style>
  <w:style w:type="paragraph" w:customStyle="1" w:styleId="A599C96DF2844D4C9D548E10F2D09C7F">
    <w:name w:val="A599C96DF2844D4C9D548E10F2D09C7F"/>
    <w:rsid w:val="00AD07C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07C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D07CA"/>
    <w:rPr>
      <w:rFonts w:ascii="Times New Roman" w:hAnsi="Times New Roman"/>
      <w:sz w:val="24"/>
    </w:rPr>
  </w:style>
  <w:style w:type="paragraph" w:customStyle="1" w:styleId="487D89B4F8B34DB4967D41FE18F7F88D7">
    <w:name w:val="487D89B4F8B34DB4967D41FE18F7F88D7"/>
    <w:rsid w:val="00AD07CA"/>
    <w:rPr>
      <w:rFonts w:ascii="Times New Roman" w:hAnsi="Times New Roman"/>
      <w:sz w:val="24"/>
    </w:rPr>
  </w:style>
  <w:style w:type="paragraph" w:customStyle="1" w:styleId="AE2570ED5D764CD7AF9686706F550F4620">
    <w:name w:val="AE2570ED5D764CD7AF9686706F550F4620"/>
    <w:rsid w:val="00AD07CA"/>
    <w:pPr>
      <w:tabs>
        <w:tab w:val="center" w:pos="4680"/>
        <w:tab w:val="right" w:pos="9360"/>
      </w:tabs>
      <w:spacing w:after="0" w:line="240" w:lineRule="auto"/>
    </w:pPr>
    <w:rPr>
      <w:rFonts w:ascii="Times New Roman" w:hAnsi="Times New Roman"/>
      <w:sz w:val="24"/>
    </w:rPr>
  </w:style>
  <w:style w:type="paragraph" w:customStyle="1" w:styleId="B592DA25A09B48488DE90AB3C5FA9D72">
    <w:name w:val="B592DA25A09B48488DE90AB3C5FA9D72"/>
    <w:rsid w:val="00AD07CA"/>
  </w:style>
  <w:style w:type="paragraph" w:customStyle="1" w:styleId="A599C96DF2844D4C9D548E10F2D09C7F">
    <w:name w:val="A599C96DF2844D4C9D548E10F2D09C7F"/>
    <w:rsid w:val="00AD07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18C80F51-5F81-44F3-9C62-5A247CC70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727</Words>
  <Characters>4148</Characters>
  <Application>Microsoft Office Word</Application>
  <DocSecurity>0</DocSecurity>
  <Lines>34</Lines>
  <Paragraphs>9</Paragraphs>
  <ScaleCrop>false</ScaleCrop>
  <Company>Texas Legislative Council</Company>
  <LinksUpToDate>false</LinksUpToDate>
  <CharactersWithSpaces>4866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Ansell</cp:lastModifiedBy>
  <cp:revision>153</cp:revision>
  <cp:lastPrinted>2017-03-21T21:08:00Z</cp:lastPrinted>
  <dcterms:created xsi:type="dcterms:W3CDTF">2015-05-29T14:24:00Z</dcterms:created>
  <dcterms:modified xsi:type="dcterms:W3CDTF">2017-03-21T21:08:00Z</dcterms:modified>
</cp:coreProperties>
</file>

<file path=docProps/custom.xml><?xml version="1.0" encoding="utf-8"?>
<op:Properties xmlns:vt="http://schemas.openxmlformats.org/officeDocument/2006/docPropsVTypes" xmlns:op="http://schemas.openxmlformats.org/officeDocument/2006/custom-properties"/>
</file>