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D5" w:rsidRDefault="006665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FA6B59E99DE46FCAC8D6896B82F9B0B"/>
          </w:placeholder>
        </w:sdtPr>
        <w:sdtContent>
          <w:r w:rsidRPr="005C2A78">
            <w:rPr>
              <w:rFonts w:cs="Times New Roman"/>
              <w:b/>
              <w:szCs w:val="24"/>
              <w:u w:val="single"/>
            </w:rPr>
            <w:t>BILL ANALYSIS</w:t>
          </w:r>
        </w:sdtContent>
      </w:sdt>
    </w:p>
    <w:p w:rsidR="006665D5" w:rsidRPr="00585C31" w:rsidRDefault="006665D5" w:rsidP="000F1DF9">
      <w:pPr>
        <w:spacing w:after="0" w:line="240" w:lineRule="auto"/>
        <w:rPr>
          <w:rFonts w:cs="Times New Roman"/>
          <w:szCs w:val="24"/>
        </w:rPr>
      </w:pPr>
    </w:p>
    <w:p w:rsidR="006665D5" w:rsidRPr="00585C31" w:rsidRDefault="006665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665D5" w:rsidTr="000F1DF9">
        <w:tc>
          <w:tcPr>
            <w:tcW w:w="2718" w:type="dxa"/>
          </w:tcPr>
          <w:p w:rsidR="006665D5" w:rsidRPr="005C2A78" w:rsidRDefault="006665D5" w:rsidP="006D756B">
            <w:pPr>
              <w:rPr>
                <w:rFonts w:cs="Times New Roman"/>
                <w:szCs w:val="24"/>
              </w:rPr>
            </w:pPr>
            <w:sdt>
              <w:sdtPr>
                <w:rPr>
                  <w:rFonts w:cs="Times New Roman"/>
                  <w:szCs w:val="24"/>
                </w:rPr>
                <w:alias w:val="Agency Title"/>
                <w:tag w:val="AgencyTitleContentControl"/>
                <w:id w:val="1920747753"/>
                <w:lock w:val="sdtContentLocked"/>
                <w:placeholder>
                  <w:docPart w:val="392F6FA767CE417784CEE01DF9CDB455"/>
                </w:placeholder>
              </w:sdtPr>
              <w:sdtEndPr>
                <w:rPr>
                  <w:rFonts w:cstheme="minorBidi"/>
                  <w:szCs w:val="22"/>
                </w:rPr>
              </w:sdtEndPr>
              <w:sdtContent>
                <w:r>
                  <w:rPr>
                    <w:rFonts w:cs="Times New Roman"/>
                    <w:szCs w:val="24"/>
                  </w:rPr>
                  <w:t>Senate Research Center</w:t>
                </w:r>
              </w:sdtContent>
            </w:sdt>
          </w:p>
        </w:tc>
        <w:tc>
          <w:tcPr>
            <w:tcW w:w="6858" w:type="dxa"/>
          </w:tcPr>
          <w:p w:rsidR="006665D5" w:rsidRPr="00FF6471" w:rsidRDefault="006665D5" w:rsidP="000F1DF9">
            <w:pPr>
              <w:jc w:val="right"/>
              <w:rPr>
                <w:rFonts w:cs="Times New Roman"/>
                <w:szCs w:val="24"/>
              </w:rPr>
            </w:pPr>
            <w:sdt>
              <w:sdtPr>
                <w:rPr>
                  <w:rFonts w:cs="Times New Roman"/>
                  <w:szCs w:val="24"/>
                </w:rPr>
                <w:alias w:val="Bill Number"/>
                <w:tag w:val="BillNumberOne"/>
                <w:id w:val="-410784069"/>
                <w:lock w:val="sdtContentLocked"/>
                <w:placeholder>
                  <w:docPart w:val="EE767CEB58054410B553EF09FECD82EB"/>
                </w:placeholder>
              </w:sdtPr>
              <w:sdtContent>
                <w:r>
                  <w:rPr>
                    <w:rFonts w:cs="Times New Roman"/>
                    <w:szCs w:val="24"/>
                  </w:rPr>
                  <w:t>S.B. 6</w:t>
                </w:r>
              </w:sdtContent>
            </w:sdt>
          </w:p>
        </w:tc>
      </w:tr>
      <w:tr w:rsidR="006665D5" w:rsidTr="000F1DF9">
        <w:sdt>
          <w:sdtPr>
            <w:rPr>
              <w:rFonts w:cs="Times New Roman"/>
              <w:szCs w:val="24"/>
            </w:rPr>
            <w:alias w:val="TLCNumber"/>
            <w:tag w:val="TLCNumber"/>
            <w:id w:val="-542600604"/>
            <w:lock w:val="sdtLocked"/>
            <w:placeholder>
              <w:docPart w:val="6D692BC48B354438BEBC826A81F9EA11"/>
            </w:placeholder>
          </w:sdtPr>
          <w:sdtContent>
            <w:tc>
              <w:tcPr>
                <w:tcW w:w="2718" w:type="dxa"/>
              </w:tcPr>
              <w:p w:rsidR="006665D5" w:rsidRPr="000F1DF9" w:rsidRDefault="006665D5" w:rsidP="00C65088">
                <w:pPr>
                  <w:rPr>
                    <w:rFonts w:cs="Times New Roman"/>
                    <w:szCs w:val="24"/>
                  </w:rPr>
                </w:pPr>
                <w:r>
                  <w:rPr>
                    <w:rFonts w:cs="Times New Roman"/>
                    <w:szCs w:val="24"/>
                  </w:rPr>
                  <w:t>85R6551 LED-D</w:t>
                </w:r>
              </w:p>
            </w:tc>
          </w:sdtContent>
        </w:sdt>
        <w:tc>
          <w:tcPr>
            <w:tcW w:w="6858" w:type="dxa"/>
          </w:tcPr>
          <w:p w:rsidR="006665D5" w:rsidRPr="005C2A78" w:rsidRDefault="006665D5" w:rsidP="006D756B">
            <w:pPr>
              <w:jc w:val="right"/>
              <w:rPr>
                <w:rFonts w:cs="Times New Roman"/>
                <w:szCs w:val="24"/>
              </w:rPr>
            </w:pPr>
            <w:sdt>
              <w:sdtPr>
                <w:rPr>
                  <w:rFonts w:cs="Times New Roman"/>
                  <w:szCs w:val="24"/>
                </w:rPr>
                <w:alias w:val="Author Label"/>
                <w:tag w:val="By"/>
                <w:id w:val="72399597"/>
                <w:lock w:val="sdtLocked"/>
                <w:placeholder>
                  <w:docPart w:val="C16DFE314CE04FBEB5A4DEF2CB24C5A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013513E64974204924D08DEC0A3F411"/>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E6C3BF6089F6403394AD10E13BECB5DB"/>
                </w:placeholder>
                <w:showingPlcHdr/>
              </w:sdtPr>
              <w:sdtContent/>
            </w:sdt>
          </w:p>
        </w:tc>
      </w:tr>
      <w:tr w:rsidR="006665D5" w:rsidTr="000F1DF9">
        <w:tc>
          <w:tcPr>
            <w:tcW w:w="2718" w:type="dxa"/>
          </w:tcPr>
          <w:p w:rsidR="006665D5" w:rsidRPr="00BC7495" w:rsidRDefault="006665D5" w:rsidP="000F1DF9">
            <w:pPr>
              <w:rPr>
                <w:rFonts w:cs="Times New Roman"/>
                <w:szCs w:val="24"/>
              </w:rPr>
            </w:pPr>
          </w:p>
        </w:tc>
        <w:sdt>
          <w:sdtPr>
            <w:rPr>
              <w:rFonts w:cs="Times New Roman"/>
              <w:szCs w:val="24"/>
            </w:rPr>
            <w:alias w:val="Committee"/>
            <w:tag w:val="Committee"/>
            <w:id w:val="1914272295"/>
            <w:lock w:val="sdtContentLocked"/>
            <w:placeholder>
              <w:docPart w:val="95DE736F5CE042568BF301531888AF23"/>
            </w:placeholder>
          </w:sdtPr>
          <w:sdtContent>
            <w:tc>
              <w:tcPr>
                <w:tcW w:w="6858" w:type="dxa"/>
              </w:tcPr>
              <w:p w:rsidR="006665D5" w:rsidRPr="00FF6471" w:rsidRDefault="006665D5" w:rsidP="000F1DF9">
                <w:pPr>
                  <w:jc w:val="right"/>
                  <w:rPr>
                    <w:rFonts w:cs="Times New Roman"/>
                    <w:szCs w:val="24"/>
                  </w:rPr>
                </w:pPr>
                <w:r>
                  <w:rPr>
                    <w:rFonts w:cs="Times New Roman"/>
                    <w:szCs w:val="24"/>
                  </w:rPr>
                  <w:t>State Affairs</w:t>
                </w:r>
              </w:p>
            </w:tc>
          </w:sdtContent>
        </w:sdt>
      </w:tr>
      <w:tr w:rsidR="006665D5" w:rsidTr="000F1DF9">
        <w:tc>
          <w:tcPr>
            <w:tcW w:w="2718" w:type="dxa"/>
          </w:tcPr>
          <w:p w:rsidR="006665D5" w:rsidRPr="00BC7495" w:rsidRDefault="006665D5" w:rsidP="000F1DF9">
            <w:pPr>
              <w:rPr>
                <w:rFonts w:cs="Times New Roman"/>
                <w:szCs w:val="24"/>
              </w:rPr>
            </w:pPr>
          </w:p>
        </w:tc>
        <w:sdt>
          <w:sdtPr>
            <w:rPr>
              <w:rFonts w:cs="Times New Roman"/>
              <w:szCs w:val="24"/>
            </w:rPr>
            <w:alias w:val="Date"/>
            <w:tag w:val="DateContentControl"/>
            <w:id w:val="1178081906"/>
            <w:lock w:val="sdtLocked"/>
            <w:placeholder>
              <w:docPart w:val="59D7CA1B85F64D1285BB62AE5B4471C9"/>
            </w:placeholder>
            <w:date w:fullDate="2017-03-01T00:00:00Z">
              <w:dateFormat w:val="M/d/yyyy"/>
              <w:lid w:val="en-US"/>
              <w:storeMappedDataAs w:val="dateTime"/>
              <w:calendar w:val="gregorian"/>
            </w:date>
          </w:sdtPr>
          <w:sdtContent>
            <w:tc>
              <w:tcPr>
                <w:tcW w:w="6858" w:type="dxa"/>
              </w:tcPr>
              <w:p w:rsidR="006665D5" w:rsidRPr="00FF6471" w:rsidRDefault="006665D5" w:rsidP="000F1DF9">
                <w:pPr>
                  <w:jc w:val="right"/>
                  <w:rPr>
                    <w:rFonts w:cs="Times New Roman"/>
                    <w:szCs w:val="24"/>
                  </w:rPr>
                </w:pPr>
                <w:r>
                  <w:rPr>
                    <w:rFonts w:cs="Times New Roman"/>
                    <w:szCs w:val="24"/>
                  </w:rPr>
                  <w:t>3/1/2017</w:t>
                </w:r>
              </w:p>
            </w:tc>
          </w:sdtContent>
        </w:sdt>
      </w:tr>
      <w:tr w:rsidR="006665D5" w:rsidTr="000F1DF9">
        <w:tc>
          <w:tcPr>
            <w:tcW w:w="2718" w:type="dxa"/>
          </w:tcPr>
          <w:p w:rsidR="006665D5" w:rsidRPr="00BC7495" w:rsidRDefault="006665D5" w:rsidP="000F1DF9">
            <w:pPr>
              <w:rPr>
                <w:rFonts w:cs="Times New Roman"/>
                <w:szCs w:val="24"/>
              </w:rPr>
            </w:pPr>
          </w:p>
        </w:tc>
        <w:sdt>
          <w:sdtPr>
            <w:rPr>
              <w:rFonts w:cs="Times New Roman"/>
              <w:szCs w:val="24"/>
            </w:rPr>
            <w:alias w:val="BA Version"/>
            <w:tag w:val="BAVersion"/>
            <w:id w:val="-1685590809"/>
            <w:lock w:val="sdtContentLocked"/>
            <w:placeholder>
              <w:docPart w:val="DB28D9FBED8343C69F44C8A206721CAE"/>
            </w:placeholder>
          </w:sdtPr>
          <w:sdtContent>
            <w:tc>
              <w:tcPr>
                <w:tcW w:w="6858" w:type="dxa"/>
              </w:tcPr>
              <w:p w:rsidR="006665D5" w:rsidRPr="00FF6471" w:rsidRDefault="006665D5" w:rsidP="000F1DF9">
                <w:pPr>
                  <w:jc w:val="right"/>
                  <w:rPr>
                    <w:rFonts w:cs="Times New Roman"/>
                    <w:szCs w:val="24"/>
                  </w:rPr>
                </w:pPr>
                <w:r>
                  <w:rPr>
                    <w:rFonts w:cs="Times New Roman"/>
                    <w:szCs w:val="24"/>
                  </w:rPr>
                  <w:t>As Filed</w:t>
                </w:r>
              </w:p>
            </w:tc>
          </w:sdtContent>
        </w:sdt>
      </w:tr>
    </w:tbl>
    <w:p w:rsidR="006665D5" w:rsidRPr="00FF6471" w:rsidRDefault="006665D5" w:rsidP="000F1DF9">
      <w:pPr>
        <w:spacing w:after="0" w:line="240" w:lineRule="auto"/>
        <w:rPr>
          <w:rFonts w:cs="Times New Roman"/>
          <w:szCs w:val="24"/>
        </w:rPr>
      </w:pPr>
    </w:p>
    <w:p w:rsidR="006665D5" w:rsidRPr="00FF6471" w:rsidRDefault="006665D5" w:rsidP="000F1DF9">
      <w:pPr>
        <w:spacing w:after="0" w:line="240" w:lineRule="auto"/>
        <w:rPr>
          <w:rFonts w:cs="Times New Roman"/>
          <w:szCs w:val="24"/>
        </w:rPr>
      </w:pPr>
    </w:p>
    <w:p w:rsidR="006665D5" w:rsidRPr="00FF6471" w:rsidRDefault="006665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6237B7F847E4402864C73413DF50512"/>
        </w:placeholder>
      </w:sdtPr>
      <w:sdtContent>
        <w:p w:rsidR="006665D5" w:rsidRDefault="006665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E88F450F3064049A415ED28AEA0EAA6"/>
        </w:placeholder>
      </w:sdtPr>
      <w:sdtContent>
        <w:p w:rsidR="006665D5" w:rsidRDefault="006665D5" w:rsidP="006665D5">
          <w:pPr>
            <w:pStyle w:val="NormalWeb"/>
            <w:spacing w:before="0" w:beforeAutospacing="0" w:after="0" w:afterAutospacing="0"/>
            <w:jc w:val="both"/>
            <w:divId w:val="2115250251"/>
            <w:rPr>
              <w:rFonts w:eastAsia="Times New Roman"/>
              <w:bCs/>
            </w:rPr>
          </w:pPr>
        </w:p>
        <w:p w:rsidR="006665D5" w:rsidRDefault="006665D5" w:rsidP="006665D5">
          <w:pPr>
            <w:pStyle w:val="NormalWeb"/>
            <w:spacing w:before="0" w:beforeAutospacing="0" w:after="0" w:afterAutospacing="0"/>
            <w:jc w:val="both"/>
            <w:divId w:val="2115250251"/>
            <w:rPr>
              <w:color w:val="000000"/>
            </w:rPr>
          </w:pPr>
          <w:r>
            <w:rPr>
              <w:color w:val="000000"/>
            </w:rPr>
            <w:t>S.B.</w:t>
          </w:r>
          <w:r w:rsidRPr="00C91095">
            <w:rPr>
              <w:color w:val="000000"/>
            </w:rPr>
            <w:t xml:space="preserve"> 6 makes several changes in the law designed to increase privacy and protections in bathrooms, changing rooms, and locker rooms.</w:t>
          </w:r>
        </w:p>
        <w:p w:rsidR="006665D5" w:rsidRPr="00C91095" w:rsidRDefault="006665D5" w:rsidP="006665D5">
          <w:pPr>
            <w:pStyle w:val="NormalWeb"/>
            <w:spacing w:before="0" w:beforeAutospacing="0" w:after="0" w:afterAutospacing="0"/>
            <w:jc w:val="both"/>
            <w:divId w:val="2115250251"/>
            <w:rPr>
              <w:color w:val="000000"/>
            </w:rPr>
          </w:pPr>
          <w:r w:rsidRPr="00C91095">
            <w:rPr>
              <w:color w:val="000000"/>
            </w:rPr>
            <w:t xml:space="preserve"> </w:t>
          </w:r>
        </w:p>
        <w:p w:rsidR="006665D5" w:rsidRDefault="006665D5" w:rsidP="006665D5">
          <w:pPr>
            <w:pStyle w:val="NormalWeb"/>
            <w:spacing w:before="0" w:beforeAutospacing="0" w:after="0" w:afterAutospacing="0"/>
            <w:jc w:val="both"/>
            <w:divId w:val="2115250251"/>
            <w:rPr>
              <w:color w:val="000000"/>
            </w:rPr>
          </w:pPr>
          <w:r w:rsidRPr="00C91095">
            <w:rPr>
              <w:color w:val="000000"/>
            </w:rPr>
            <w:t>SECTION 2 of the bill preempts a political subdivision such as a county or municipality from adopting or enforcing an ordinance that would establish a policy relating to who may use a private entity's bathroom or changing facility. This would apply to a business or non-profit and would prevent any local government from designating who may use a bathroom, regardless of what that designation may contain.</w:t>
          </w:r>
        </w:p>
        <w:p w:rsidR="006665D5" w:rsidRPr="00C91095" w:rsidRDefault="006665D5" w:rsidP="006665D5">
          <w:pPr>
            <w:pStyle w:val="NormalWeb"/>
            <w:spacing w:before="0" w:beforeAutospacing="0" w:after="0" w:afterAutospacing="0"/>
            <w:jc w:val="both"/>
            <w:divId w:val="2115250251"/>
            <w:rPr>
              <w:color w:val="000000"/>
            </w:rPr>
          </w:pPr>
          <w:r w:rsidRPr="00C91095">
            <w:rPr>
              <w:color w:val="000000"/>
            </w:rPr>
            <w:t xml:space="preserve"> </w:t>
          </w:r>
        </w:p>
        <w:p w:rsidR="006665D5" w:rsidRDefault="006665D5" w:rsidP="006665D5">
          <w:pPr>
            <w:pStyle w:val="NormalWeb"/>
            <w:spacing w:before="0" w:beforeAutospacing="0" w:after="0" w:afterAutospacing="0"/>
            <w:jc w:val="both"/>
            <w:divId w:val="2115250251"/>
            <w:rPr>
              <w:color w:val="000000"/>
            </w:rPr>
          </w:pPr>
          <w:r w:rsidRPr="00C91095">
            <w:rPr>
              <w:color w:val="000000"/>
            </w:rPr>
            <w:t xml:space="preserve">SECTION 3 of the bill prohibits any political subdivision from considering an entity's bathroom designation policy when awarding a contract for the purchase of goods or services. Every company, regardless of their bathroom designation policy, will still be eligible to apply for state contracts. </w:t>
          </w:r>
        </w:p>
        <w:p w:rsidR="006665D5" w:rsidRPr="00C91095" w:rsidRDefault="006665D5" w:rsidP="006665D5">
          <w:pPr>
            <w:pStyle w:val="NormalWeb"/>
            <w:spacing w:before="0" w:beforeAutospacing="0" w:after="0" w:afterAutospacing="0"/>
            <w:jc w:val="both"/>
            <w:divId w:val="2115250251"/>
            <w:rPr>
              <w:color w:val="000000"/>
            </w:rPr>
          </w:pPr>
        </w:p>
        <w:p w:rsidR="006665D5" w:rsidRDefault="006665D5" w:rsidP="006665D5">
          <w:pPr>
            <w:pStyle w:val="NormalWeb"/>
            <w:spacing w:before="0" w:beforeAutospacing="0" w:after="0" w:afterAutospacing="0"/>
            <w:jc w:val="both"/>
            <w:divId w:val="2115250251"/>
            <w:rPr>
              <w:color w:val="000000"/>
            </w:rPr>
          </w:pPr>
          <w:r w:rsidRPr="00C91095">
            <w:rPr>
              <w:color w:val="000000"/>
            </w:rPr>
            <w:t xml:space="preserve">SECTION 4 of the bill requires each school district, public university, state agency, county, municipality, special district, and open-enrollment charter school to adopt a bathroom designation policy based on a person's biological sex. This </w:t>
          </w:r>
          <w:r>
            <w:rPr>
              <w:color w:val="000000"/>
            </w:rPr>
            <w:t xml:space="preserve">section </w:t>
          </w:r>
          <w:r w:rsidRPr="00C91095">
            <w:rPr>
              <w:color w:val="000000"/>
            </w:rPr>
            <w:t>allows a public building, school, or charter school to provide an accommodation to a student upon request due to any special circumstance. The bill also includes several exceptions to the biological designation, allowing a person to enter a bathroom of the opposite biological sex for a custodial purpose, to render medical assistance, or to assist a student or disabled individual. Further</w:t>
          </w:r>
          <w:r>
            <w:rPr>
              <w:color w:val="000000"/>
            </w:rPr>
            <w:t>more, a child under the age of eight</w:t>
          </w:r>
          <w:r w:rsidRPr="00C91095">
            <w:rPr>
              <w:color w:val="000000"/>
            </w:rPr>
            <w:t xml:space="preserve"> may enter a bathroom of the opposite sex with a person who is caring for them. SECTION 4 also allows a private entity who is contracting with a governmental entity for the use of a government facility to determine their own bathroom policy. </w:t>
          </w:r>
        </w:p>
        <w:p w:rsidR="006665D5" w:rsidRPr="00C91095" w:rsidRDefault="006665D5" w:rsidP="006665D5">
          <w:pPr>
            <w:pStyle w:val="NormalWeb"/>
            <w:spacing w:before="0" w:beforeAutospacing="0" w:after="0" w:afterAutospacing="0"/>
            <w:jc w:val="both"/>
            <w:divId w:val="2115250251"/>
            <w:rPr>
              <w:color w:val="000000"/>
            </w:rPr>
          </w:pPr>
        </w:p>
        <w:p w:rsidR="006665D5" w:rsidRDefault="006665D5" w:rsidP="006665D5">
          <w:pPr>
            <w:pStyle w:val="NormalWeb"/>
            <w:spacing w:before="0" w:beforeAutospacing="0" w:after="0" w:afterAutospacing="0"/>
            <w:jc w:val="both"/>
            <w:divId w:val="2115250251"/>
            <w:rPr>
              <w:color w:val="000000"/>
            </w:rPr>
          </w:pPr>
          <w:r w:rsidRPr="00C91095">
            <w:rPr>
              <w:color w:val="000000"/>
            </w:rPr>
            <w:t xml:space="preserve">The bill imposes a civil penalty on any school or public entity that violates the requirement to maintain a separate bathroom designation based on biological sex. Once the attorney general receives a complaint that a school or public entity has violated that requirement, they are subject to a civil </w:t>
          </w:r>
          <w:r>
            <w:rPr>
              <w:color w:val="000000"/>
            </w:rPr>
            <w:t xml:space="preserve">penalty between $1,000 and </w:t>
          </w:r>
          <w:r w:rsidRPr="00C91095">
            <w:rPr>
              <w:color w:val="000000"/>
            </w:rPr>
            <w:t>$1</w:t>
          </w:r>
          <w:r>
            <w:rPr>
              <w:color w:val="000000"/>
            </w:rPr>
            <w:t>,</w:t>
          </w:r>
          <w:r w:rsidRPr="00C91095">
            <w:rPr>
              <w:color w:val="000000"/>
            </w:rPr>
            <w:t xml:space="preserve">500 for the first violation and between $10,000 and $10,500 for each subsequent violation. The bill allows any citizen to file a complaint about a school or public entity that is in violation of the statute, is aware of the violation, and has not cured the violation within three days. The </w:t>
          </w:r>
          <w:r>
            <w:rPr>
              <w:color w:val="000000"/>
            </w:rPr>
            <w:t>Office of the Attorney General (</w:t>
          </w:r>
          <w:r w:rsidRPr="00C91095">
            <w:rPr>
              <w:color w:val="000000"/>
            </w:rPr>
            <w:t>OAG</w:t>
          </w:r>
          <w:r>
            <w:rPr>
              <w:color w:val="000000"/>
            </w:rPr>
            <w:t>)</w:t>
          </w:r>
          <w:r w:rsidRPr="00C91095">
            <w:rPr>
              <w:color w:val="000000"/>
            </w:rPr>
            <w:t xml:space="preserve"> must investigate any complaint it receives and allows them to pursue a fine if the school or entity does not cure after 15 days of receiving notice from the OAG. The draft also contains a limited waiver of sovereign immunity to allow these penalties to be collected. </w:t>
          </w:r>
        </w:p>
        <w:p w:rsidR="006665D5" w:rsidRPr="00C91095" w:rsidRDefault="006665D5" w:rsidP="006665D5">
          <w:pPr>
            <w:pStyle w:val="NormalWeb"/>
            <w:spacing w:before="0" w:beforeAutospacing="0" w:after="0" w:afterAutospacing="0"/>
            <w:jc w:val="both"/>
            <w:divId w:val="2115250251"/>
            <w:rPr>
              <w:color w:val="000000"/>
            </w:rPr>
          </w:pPr>
        </w:p>
        <w:p w:rsidR="006665D5" w:rsidRPr="00C91095" w:rsidRDefault="006665D5" w:rsidP="006665D5">
          <w:pPr>
            <w:pStyle w:val="NormalWeb"/>
            <w:spacing w:before="0" w:beforeAutospacing="0" w:after="0" w:afterAutospacing="0"/>
            <w:jc w:val="both"/>
            <w:divId w:val="2115250251"/>
            <w:rPr>
              <w:color w:val="000000"/>
            </w:rPr>
          </w:pPr>
          <w:r w:rsidRPr="00C91095">
            <w:rPr>
              <w:color w:val="000000"/>
            </w:rPr>
            <w:t xml:space="preserve">Finally, SECTION 5 of the bill contains a penalty enhancement for a list of crimes that commonly occur in bathrooms. This </w:t>
          </w:r>
          <w:r>
            <w:rPr>
              <w:color w:val="000000"/>
            </w:rPr>
            <w:t xml:space="preserve">section </w:t>
          </w:r>
          <w:r w:rsidRPr="00C91095">
            <w:rPr>
              <w:color w:val="000000"/>
            </w:rPr>
            <w:t>increases the punishment for these crimes that occur in a bathroom to the punishment prescribed f</w:t>
          </w:r>
          <w:r>
            <w:rPr>
              <w:color w:val="000000"/>
            </w:rPr>
            <w:t>or the next category of offense</w:t>
          </w:r>
          <w:r w:rsidRPr="00C91095">
            <w:rPr>
              <w:color w:val="000000"/>
            </w:rPr>
            <w:t xml:space="preserve"> and imposes a mandatory minimum sentence of 15 years for any offense that is already a first degree felony. </w:t>
          </w:r>
        </w:p>
        <w:p w:rsidR="006665D5" w:rsidRPr="00D70925" w:rsidRDefault="006665D5" w:rsidP="006665D5">
          <w:pPr>
            <w:spacing w:after="0" w:line="240" w:lineRule="auto"/>
            <w:jc w:val="both"/>
            <w:rPr>
              <w:rFonts w:eastAsia="Times New Roman" w:cs="Times New Roman"/>
              <w:bCs/>
              <w:szCs w:val="24"/>
            </w:rPr>
          </w:pPr>
        </w:p>
      </w:sdtContent>
    </w:sdt>
    <w:p w:rsidR="006665D5" w:rsidRDefault="006665D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 </w:t>
      </w:r>
      <w:bookmarkStart w:id="1" w:name="AmendsCurrentLaw"/>
      <w:bookmarkEnd w:id="1"/>
      <w:r>
        <w:rPr>
          <w:rFonts w:cs="Times New Roman"/>
          <w:szCs w:val="24"/>
        </w:rPr>
        <w:t>amends current law relating to regulations and policies for entering or using a bathroom or changing facility; authorizing a civil penalty; increasing criminal penalties.</w:t>
      </w:r>
    </w:p>
    <w:p w:rsidR="006665D5" w:rsidRPr="007B665C" w:rsidRDefault="006665D5" w:rsidP="000F1DF9">
      <w:pPr>
        <w:spacing w:after="0" w:line="240" w:lineRule="auto"/>
        <w:jc w:val="both"/>
        <w:rPr>
          <w:rFonts w:eastAsia="Times New Roman" w:cs="Times New Roman"/>
          <w:szCs w:val="24"/>
        </w:rPr>
      </w:pPr>
    </w:p>
    <w:p w:rsidR="006665D5" w:rsidRPr="005C2A78" w:rsidRDefault="006665D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80F6B01D91164B9D8B913FB15BECDF87"/>
          </w:placeholder>
        </w:sdtPr>
        <w:sdtContent>
          <w:r>
            <w:rPr>
              <w:rFonts w:eastAsia="Times New Roman" w:cs="Times New Roman"/>
              <w:b/>
              <w:szCs w:val="24"/>
              <w:u w:val="single"/>
            </w:rPr>
            <w:t>RULEMAKING AUTHORITY</w:t>
          </w:r>
        </w:sdtContent>
      </w:sdt>
    </w:p>
    <w:p w:rsidR="006665D5" w:rsidRPr="006529C4" w:rsidRDefault="006665D5" w:rsidP="00774EC7">
      <w:pPr>
        <w:spacing w:after="0" w:line="240" w:lineRule="auto"/>
        <w:jc w:val="both"/>
        <w:rPr>
          <w:rFonts w:cs="Times New Roman"/>
          <w:szCs w:val="24"/>
        </w:rPr>
      </w:pPr>
    </w:p>
    <w:p w:rsidR="006665D5" w:rsidRPr="006529C4" w:rsidRDefault="006665D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665D5" w:rsidRPr="006529C4" w:rsidRDefault="006665D5" w:rsidP="00774EC7">
      <w:pPr>
        <w:spacing w:after="0" w:line="240" w:lineRule="auto"/>
        <w:jc w:val="both"/>
        <w:rPr>
          <w:rFonts w:cs="Times New Roman"/>
          <w:szCs w:val="24"/>
        </w:rPr>
      </w:pPr>
    </w:p>
    <w:p w:rsidR="006665D5" w:rsidRPr="005C2A78" w:rsidRDefault="006665D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1496B1CCB4504AF4AD32A7E552C4C3C8"/>
          </w:placeholder>
        </w:sdtPr>
        <w:sdtContent>
          <w:r>
            <w:rPr>
              <w:rFonts w:eastAsia="Times New Roman" w:cs="Times New Roman"/>
              <w:b/>
              <w:szCs w:val="24"/>
              <w:u w:val="single"/>
            </w:rPr>
            <w:t>SECTION BY SECTION ANALYSIS</w:t>
          </w:r>
        </w:sdtContent>
      </w:sdt>
    </w:p>
    <w:p w:rsidR="006665D5" w:rsidRPr="005C2A78" w:rsidRDefault="006665D5" w:rsidP="000F1DF9">
      <w:pPr>
        <w:spacing w:after="0" w:line="240" w:lineRule="auto"/>
        <w:jc w:val="both"/>
        <w:rPr>
          <w:rFonts w:eastAsia="Times New Roman" w:cs="Times New Roman"/>
          <w:szCs w:val="24"/>
        </w:rPr>
      </w:pPr>
    </w:p>
    <w:p w:rsidR="006665D5" w:rsidRDefault="006665D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250, Local Government Code, to read as follows: </w:t>
      </w:r>
    </w:p>
    <w:p w:rsidR="006665D5" w:rsidRDefault="006665D5" w:rsidP="000F1DF9">
      <w:pPr>
        <w:spacing w:after="0" w:line="240" w:lineRule="auto"/>
        <w:jc w:val="both"/>
        <w:rPr>
          <w:rFonts w:eastAsia="Times New Roman" w:cs="Times New Roman"/>
          <w:szCs w:val="24"/>
        </w:rPr>
      </w:pPr>
    </w:p>
    <w:p w:rsidR="006665D5" w:rsidRPr="005C2A78" w:rsidRDefault="006665D5" w:rsidP="007B665C">
      <w:pPr>
        <w:spacing w:after="0" w:line="240" w:lineRule="auto"/>
        <w:jc w:val="center"/>
        <w:rPr>
          <w:rFonts w:eastAsia="Times New Roman" w:cs="Times New Roman"/>
          <w:szCs w:val="24"/>
        </w:rPr>
      </w:pPr>
      <w:r>
        <w:rPr>
          <w:rFonts w:eastAsia="Times New Roman" w:cs="Times New Roman"/>
          <w:szCs w:val="24"/>
        </w:rPr>
        <w:t>CHAPTER 250. MISCELLANEOUS REGULATORY AUTHORITY</w:t>
      </w:r>
    </w:p>
    <w:p w:rsidR="006665D5" w:rsidRPr="005C2A78" w:rsidRDefault="006665D5" w:rsidP="000F1DF9">
      <w:pPr>
        <w:spacing w:after="0" w:line="240" w:lineRule="auto"/>
        <w:jc w:val="both"/>
        <w:rPr>
          <w:rFonts w:eastAsia="Times New Roman" w:cs="Times New Roman"/>
          <w:szCs w:val="24"/>
        </w:rPr>
      </w:pPr>
    </w:p>
    <w:p w:rsidR="006665D5" w:rsidRDefault="006665D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250, Local Government Code, by adding Section 250.008, as follows: </w:t>
      </w:r>
    </w:p>
    <w:p w:rsidR="006665D5" w:rsidRDefault="006665D5" w:rsidP="000F1DF9">
      <w:pPr>
        <w:spacing w:after="0" w:line="240" w:lineRule="auto"/>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250.008. REGULATIONS RELATING TO CERTAIN BATHROOM OR CHANGING FACILITIES PROHIBITED. (a) Defines "bathroom or changing facility." </w:t>
      </w:r>
    </w:p>
    <w:p w:rsidR="006665D5" w:rsidRDefault="006665D5" w:rsidP="007B665C">
      <w:pPr>
        <w:spacing w:after="0" w:line="240" w:lineRule="auto"/>
        <w:ind w:left="720"/>
        <w:jc w:val="both"/>
        <w:rPr>
          <w:rFonts w:eastAsia="Times New Roman" w:cs="Times New Roman"/>
          <w:szCs w:val="24"/>
        </w:rPr>
      </w:pPr>
    </w:p>
    <w:p w:rsidR="006665D5" w:rsidRPr="005C2A78"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from adopting or enforcing an order, ordinance, or other measure relating to the designation or use of a private entity's bathroom or changing facility or that requires or prohibits the entity from adopting a policy on the designation or use of the entity's bathroom or changing facility. </w:t>
      </w:r>
    </w:p>
    <w:p w:rsidR="006665D5" w:rsidRPr="005C2A78" w:rsidRDefault="006665D5" w:rsidP="000F1DF9">
      <w:pPr>
        <w:spacing w:after="0" w:line="240" w:lineRule="auto"/>
        <w:jc w:val="both"/>
        <w:rPr>
          <w:rFonts w:eastAsia="Times New Roman" w:cs="Times New Roman"/>
          <w:szCs w:val="24"/>
        </w:rPr>
      </w:pPr>
    </w:p>
    <w:p w:rsidR="006665D5" w:rsidRDefault="006665D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Z, Chapter 271, Local Government Code, by adding Section 271.909, as follows: </w:t>
      </w:r>
    </w:p>
    <w:p w:rsidR="006665D5" w:rsidRDefault="006665D5" w:rsidP="000F1DF9">
      <w:pPr>
        <w:spacing w:after="0" w:line="240" w:lineRule="auto"/>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271.909. CONSIDERATION OF CERTAIN POLICIES PROHIBITED. (a) Defines "bathroom or changing facility."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Prohibits a political subdivision, in awarding a contract for the purchase of goods or services, from considering whether a private entity competing for the contract has adopted a policy relating to the designation or use of the entity's bathroom or changing facility.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4. Amends Subtitle A, Title 9, Health and Safety Code, by adding Chapter 769, as follows: </w:t>
      </w:r>
    </w:p>
    <w:p w:rsidR="006665D5" w:rsidRDefault="006665D5" w:rsidP="007B665C">
      <w:pPr>
        <w:spacing w:after="0" w:line="240" w:lineRule="auto"/>
        <w:jc w:val="both"/>
        <w:rPr>
          <w:rFonts w:eastAsia="Times New Roman" w:cs="Times New Roman"/>
          <w:szCs w:val="24"/>
        </w:rPr>
      </w:pPr>
    </w:p>
    <w:p w:rsidR="006665D5" w:rsidRDefault="006665D5" w:rsidP="007B665C">
      <w:pPr>
        <w:spacing w:after="0" w:line="240" w:lineRule="auto"/>
        <w:jc w:val="center"/>
        <w:rPr>
          <w:rFonts w:eastAsia="Times New Roman" w:cs="Times New Roman"/>
          <w:szCs w:val="24"/>
        </w:rPr>
      </w:pPr>
      <w:r>
        <w:rPr>
          <w:rFonts w:eastAsia="Times New Roman" w:cs="Times New Roman"/>
          <w:szCs w:val="24"/>
        </w:rPr>
        <w:t>CHAPTER 769. PUBLIC SINGLE-SEX MULTIPLE-OCCUPANCY BATHROOMS AND CHANGING FACILITIES</w:t>
      </w:r>
    </w:p>
    <w:p w:rsidR="006665D5" w:rsidRDefault="006665D5" w:rsidP="007B665C">
      <w:pPr>
        <w:spacing w:after="0" w:line="240" w:lineRule="auto"/>
        <w:jc w:val="center"/>
        <w:rPr>
          <w:rFonts w:eastAsia="Times New Roman" w:cs="Times New Roman"/>
          <w:szCs w:val="24"/>
        </w:rPr>
      </w:pPr>
    </w:p>
    <w:p w:rsidR="006665D5" w:rsidRDefault="006665D5" w:rsidP="007B665C">
      <w:pPr>
        <w:spacing w:after="0" w:line="240" w:lineRule="auto"/>
        <w:jc w:val="center"/>
        <w:rPr>
          <w:rFonts w:eastAsia="Times New Roman" w:cs="Times New Roman"/>
          <w:szCs w:val="24"/>
        </w:rPr>
      </w:pPr>
      <w:r>
        <w:rPr>
          <w:rFonts w:eastAsia="Times New Roman" w:cs="Times New Roman"/>
          <w:szCs w:val="24"/>
        </w:rPr>
        <w:t>SUBCHAPTER A. GENERAL PROVISIONS</w:t>
      </w:r>
    </w:p>
    <w:p w:rsidR="006665D5" w:rsidRDefault="006665D5" w:rsidP="007B665C">
      <w:pPr>
        <w:spacing w:after="0" w:line="240" w:lineRule="auto"/>
        <w:jc w:val="center"/>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769.001. DEFINITIONS. Defines "biological sex," "institution of higher education," "multiple-occupancy bathroom or changing facility," "open-enrollment charter school," "political subdivision," "school district," "single-occupancy bathroom or changing facility," and "state agency."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jc w:val="center"/>
        <w:rPr>
          <w:rFonts w:eastAsia="Times New Roman" w:cs="Times New Roman"/>
          <w:szCs w:val="24"/>
        </w:rPr>
      </w:pPr>
      <w:r>
        <w:rPr>
          <w:rFonts w:eastAsia="Times New Roman" w:cs="Times New Roman"/>
          <w:szCs w:val="24"/>
        </w:rPr>
        <w:t>SUBCHAPTER B. PUBLIC SCHOOLS</w:t>
      </w:r>
    </w:p>
    <w:p w:rsidR="006665D5" w:rsidRDefault="006665D5" w:rsidP="007B665C">
      <w:pPr>
        <w:spacing w:after="0" w:line="240" w:lineRule="auto"/>
        <w:jc w:val="center"/>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769.051. SINGLE-SEX MULTIPLE-OCCUPANCY BATHROOM OR CHANGING FACILITY. Requires a school district or open-enrollment charter school to adopt a policy requiring each multiple-occupancy bathroom or changing facility accessible to students that is located in a school or school facility to be designated for and used only by persons based on the person's biological sex.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769.052. ACCOMMODATIONS AUTHORIZED. Provides that this subchapter does not prohibit a school district or open-enrollment charter school from providing an accommodation, including a single-occupancy bathroom or changing facility or the controlled use of a faculty bathroom or changing facility, on request due to special circumstances. Prohibits the school district or open-enrollment charter school from providing an accommodation allowing a person to use a multiple-occupancy bathroom or changing facility accessible to students that is designated for the biological sex opposite to the person's biological sex.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769.053. EXCEPTIONS. Provides that a policy adopted under Section 769.051 does not apply to a person entering a multiple-occupancy bathroom or changing facility designated for the biological sex opposite to the person’s biological sex for certain custodial, maintenance, or assistance purposes.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jc w:val="center"/>
        <w:rPr>
          <w:rFonts w:eastAsia="Times New Roman" w:cs="Times New Roman"/>
          <w:szCs w:val="24"/>
        </w:rPr>
      </w:pPr>
      <w:r>
        <w:rPr>
          <w:rFonts w:eastAsia="Times New Roman" w:cs="Times New Roman"/>
          <w:szCs w:val="24"/>
        </w:rPr>
        <w:t>SUBCHAPTER C. PUBLIC BUILDINGS</w:t>
      </w:r>
    </w:p>
    <w:p w:rsidR="006665D5" w:rsidRDefault="006665D5" w:rsidP="007B665C">
      <w:pPr>
        <w:spacing w:after="0" w:line="240" w:lineRule="auto"/>
        <w:jc w:val="center"/>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769.101. SINGLE-SEX MULTIPLE-OCCUPANCY BATHROOM OR CHANGING FACILITY. Requires a political subdivision or state agency with control over multiple-occupancy bathrooms or changing facilities in a building owned or leased by the state or the political subdivision, as applicable, to develop a policy requiring each multiple-occupancy bathroom or changing facility located in the building to be designated for and used only by persons of the same biological sex.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769.102. ACCOMMODATIONS AUTHORIZED. Provides that this subchapter does not prohibit a political subdivision or state agency from providing an accommodation, including a single-occupancy bathroom or changing facility, on request due to special circumstances. Prohibits the political subdivision or state agency from providing an accommodation that allows a person to use a multiple-occupancy bathroom or changing facility designated for the biological sex opposite to the person's biological sex.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769.103. PRIVATE LEASES AND CONTRACTS. Provides that a private entity that leases or contracts to use a building owned or leased by this state or a political subdivision is not subject to a policy developed under Section 769.101. Prohibits a state agency or political subdivision from requiring or prohibiting a private entity that leases or contracts to use a building owned or leased by this state or a political subdivision from adopting a policy on the designation or use of bathroom or changing facilities located in the building.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769.104. EXCEPTIONS. Provides that a policy developed under Section 769.101 does not apply to a person entering a multiple-occupancy bathroom or changing facility designated for the biological sex opposite to the person’s biological sex for certain custodial, maintenance, or assistance purposes, or to a child younger than eight years of age entering a multiple-occupancy bathroom or changing facility designated for the biological sex opposite to the child’s biological sex and accompanying a person caring for the child.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jc w:val="center"/>
        <w:rPr>
          <w:rFonts w:eastAsia="Times New Roman" w:cs="Times New Roman"/>
          <w:szCs w:val="24"/>
        </w:rPr>
      </w:pPr>
      <w:r>
        <w:rPr>
          <w:rFonts w:eastAsia="Times New Roman" w:cs="Times New Roman"/>
          <w:szCs w:val="24"/>
        </w:rPr>
        <w:t>SUBCHAPTER D. ENFORCEMENT</w:t>
      </w:r>
    </w:p>
    <w:p w:rsidR="006665D5" w:rsidRDefault="006665D5" w:rsidP="007B665C">
      <w:pPr>
        <w:spacing w:after="0" w:line="240" w:lineRule="auto"/>
        <w:jc w:val="center"/>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769.151. CIVIL PENALTY. (a) Provides that a school district, open-enrollment charter school, state agency, or political subdivision that violates this chapter is liable for certain civil penalties depending on whether it is the first or subsequent violation.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Provides that each day of a continuing violation constitutes a separate violation.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769.152. COMPLAINT; NOTICE. (a) Authorizes a citizen of this state to file a complaint with the attorney general that a school district, open-enrollment charter school, state agency, or political subdivision is in violation of this chapter only if the citizen provides the applicable entity with a written notice that describes the violation and the applicable entity does not cure the violation before the end of the third business day after the date of receiving the written notice.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Requires that a filed complaint include a copy of the written notice and a signed statement by the citizen describing the violation and indicating that the citizen provided the required notice.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769.153. DUTIES OF ATTORNEY GENERAL: INVESTIGATION AND NOTICE. (a) Requires the attorney general, before bringing a suit against a school district, open-enrollment charter school, state agency, or political subdivision for a violation of this chapter, to investigate a filed complaint to determine whether legal action is warranted.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Requires the attorney general, if the attorney general determines that legal action is warranted, to provide the appropriate officer of the school district, open-enrollment charter school, state agency, or political subdivision charged with the violation a written notice that contains certain information and requirements.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769.154. COLLECTION OF CIVIL PENALTY; MANDAMUS. (a) Authorizes the attorney general if, after receipt of notice, the school district, open-enrollment charter school, state agency, or political subdivision has not cured the violation on or before the 15th day after the date the notice is provided, to sue to collect the provided civil penalty.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Authorizes the attorney general, in addition to filing suit, to also file a petition for a writ of mandamus or apply for other appropriate equitable relief.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(c) Authorizes a suit or petition to be filed in a district court in Travis County or in a county in which the principal office of the school district, open-enrollment charter school, state agency, or political subdivision is located.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(d) Authorizes the attorney general to recover reasonable expenses incurred in obtaining relief, including court costs, reasonable attorney's fees, investigative costs, witness fees, and deposition costs.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(e) Requires a civil penalty collected by the attorney general to be deposited to the credit of the compensation to victims of crime fund established under Subchapter B (Crime Victims’ Compensation), Chapter 56 (Rights of Crime Victims), Code of Criminal Procedure.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 xml:space="preserve">Sec. 769.155. SOVEREIGN IMMUNITY WAIVED. Provides that sovereign immunity to suit is waived and abolished to the extent of liability created by this subchapter.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5. Amends Subchapter D, Chapter 12, Penal Code, by adding Section 12.501, as follows: </w:t>
      </w:r>
    </w:p>
    <w:p w:rsidR="006665D5" w:rsidRDefault="006665D5" w:rsidP="007B665C">
      <w:pPr>
        <w:spacing w:after="0" w:line="240" w:lineRule="auto"/>
        <w:jc w:val="both"/>
        <w:rPr>
          <w:rFonts w:eastAsia="Times New Roman" w:cs="Times New Roman"/>
          <w:szCs w:val="24"/>
        </w:rPr>
      </w:pPr>
    </w:p>
    <w:p w:rsidR="006665D5" w:rsidRDefault="006665D5" w:rsidP="007B665C">
      <w:pPr>
        <w:spacing w:after="0" w:line="240" w:lineRule="auto"/>
        <w:ind w:left="720"/>
        <w:jc w:val="both"/>
        <w:rPr>
          <w:rFonts w:eastAsia="Times New Roman" w:cs="Times New Roman"/>
          <w:szCs w:val="24"/>
        </w:rPr>
      </w:pPr>
      <w:r>
        <w:rPr>
          <w:rFonts w:eastAsia="Times New Roman" w:cs="Times New Roman"/>
          <w:szCs w:val="24"/>
        </w:rPr>
        <w:t>Sec. 12.501. PENALTY IF OFFENSE COMMITTED ON PREMISES OF BATHROOM OR CHANGING FACILITY. (a) Provides that, if it is shown on the trial of an offense described by Subsection (b) that the offense was committed on the premises of a bathroom or changing facility, the punishment for an offense, other than a first degree felony, is increased to the punishment prescribed for the next higher category of offense or,</w:t>
      </w:r>
      <w:r w:rsidRPr="007B665C">
        <w:rPr>
          <w:rFonts w:eastAsia="Times New Roman" w:cs="Times New Roman"/>
          <w:szCs w:val="24"/>
        </w:rPr>
        <w:t xml:space="preserve"> </w:t>
      </w:r>
      <w:r>
        <w:rPr>
          <w:rFonts w:eastAsia="Times New Roman" w:cs="Times New Roman"/>
          <w:szCs w:val="24"/>
        </w:rPr>
        <w:t xml:space="preserve">if the offense is a first degree felony, the minimum term of confinement for the offense is increased to 15 years.  </w:t>
      </w:r>
    </w:p>
    <w:p w:rsidR="006665D5" w:rsidRDefault="006665D5" w:rsidP="007B665C">
      <w:pPr>
        <w:spacing w:after="0" w:line="240" w:lineRule="auto"/>
        <w:ind w:left="72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(b) Provides that the authorized increase in punishment applies only to an offense under certain enumerated sections of the Penal Code.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ind w:left="1440"/>
        <w:jc w:val="both"/>
        <w:rPr>
          <w:rFonts w:eastAsia="Times New Roman" w:cs="Times New Roman"/>
          <w:szCs w:val="24"/>
        </w:rPr>
      </w:pPr>
      <w:r>
        <w:rPr>
          <w:rFonts w:eastAsia="Times New Roman" w:cs="Times New Roman"/>
          <w:szCs w:val="24"/>
        </w:rPr>
        <w:t xml:space="preserve">(c) Defines "bathroom or changing facility." </w:t>
      </w:r>
    </w:p>
    <w:p w:rsidR="006665D5" w:rsidRDefault="006665D5" w:rsidP="007B665C">
      <w:pPr>
        <w:spacing w:after="0" w:line="240" w:lineRule="auto"/>
        <w:ind w:left="1440"/>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SECTION 6. Severability clause.</w:t>
      </w:r>
    </w:p>
    <w:p w:rsidR="006665D5" w:rsidRDefault="006665D5" w:rsidP="007B665C">
      <w:pPr>
        <w:spacing w:after="0" w:line="240" w:lineRule="auto"/>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7. Provides that Section 250.008, Local Government Code, as added by this Act, applies to an order, ordinance, or other measure adopted before, on, or after the effective date of this Act. </w:t>
      </w:r>
    </w:p>
    <w:p w:rsidR="006665D5" w:rsidRDefault="006665D5" w:rsidP="007B665C">
      <w:pPr>
        <w:spacing w:after="0" w:line="240" w:lineRule="auto"/>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8. Makes application of Section 271.909, Local Government Code, as added by this Act, prospective. </w:t>
      </w:r>
    </w:p>
    <w:p w:rsidR="006665D5" w:rsidRDefault="006665D5" w:rsidP="007B665C">
      <w:pPr>
        <w:spacing w:after="0" w:line="240" w:lineRule="auto"/>
        <w:jc w:val="both"/>
        <w:rPr>
          <w:rFonts w:eastAsia="Times New Roman" w:cs="Times New Roman"/>
          <w:szCs w:val="24"/>
        </w:rPr>
      </w:pPr>
    </w:p>
    <w:p w:rsidR="006665D5"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9. Makes application of Section 12.501, Penal Code, as added by this Act, prospective. </w:t>
      </w:r>
    </w:p>
    <w:p w:rsidR="006665D5" w:rsidRDefault="006665D5" w:rsidP="007B665C">
      <w:pPr>
        <w:spacing w:after="0" w:line="240" w:lineRule="auto"/>
        <w:jc w:val="both"/>
        <w:rPr>
          <w:rFonts w:eastAsia="Times New Roman" w:cs="Times New Roman"/>
          <w:szCs w:val="24"/>
        </w:rPr>
      </w:pPr>
    </w:p>
    <w:p w:rsidR="006665D5" w:rsidRPr="005C2A78" w:rsidRDefault="006665D5" w:rsidP="007B665C">
      <w:pPr>
        <w:spacing w:after="0" w:line="240" w:lineRule="auto"/>
        <w:jc w:val="both"/>
        <w:rPr>
          <w:rFonts w:eastAsia="Times New Roman" w:cs="Times New Roman"/>
          <w:szCs w:val="24"/>
        </w:rPr>
      </w:pPr>
      <w:r>
        <w:rPr>
          <w:rFonts w:eastAsia="Times New Roman" w:cs="Times New Roman"/>
          <w:szCs w:val="24"/>
        </w:rPr>
        <w:t xml:space="preserve">SECTION 10. Effective date: September 1, 2017. </w:t>
      </w:r>
    </w:p>
    <w:p w:rsidR="006665D5" w:rsidRPr="006529C4" w:rsidRDefault="006665D5" w:rsidP="00774EC7">
      <w:pPr>
        <w:spacing w:after="0" w:line="240" w:lineRule="auto"/>
        <w:jc w:val="both"/>
        <w:rPr>
          <w:rFonts w:cs="Times New Roman"/>
          <w:szCs w:val="24"/>
        </w:rPr>
      </w:pPr>
    </w:p>
    <w:p w:rsidR="006665D5" w:rsidRPr="006529C4" w:rsidRDefault="006665D5" w:rsidP="00774EC7">
      <w:pPr>
        <w:spacing w:after="0" w:line="240" w:lineRule="auto"/>
        <w:jc w:val="both"/>
      </w:pPr>
    </w:p>
    <w:p w:rsidR="006665D5" w:rsidRPr="000E7858" w:rsidRDefault="006665D5" w:rsidP="000E7858"/>
    <w:p w:rsidR="006665D5" w:rsidRPr="00C91095" w:rsidRDefault="006665D5" w:rsidP="00C91095"/>
    <w:p w:rsidR="006665D5" w:rsidRPr="00E81CB9" w:rsidRDefault="006665D5" w:rsidP="00E81CB9"/>
    <w:p w:rsidR="006665D5" w:rsidRPr="001B40E9" w:rsidRDefault="006665D5" w:rsidP="001B40E9"/>
    <w:p w:rsidR="00986E9F" w:rsidRPr="006665D5" w:rsidRDefault="00986E9F" w:rsidP="006665D5"/>
    <w:sectPr w:rsidR="00986E9F" w:rsidRPr="006665D5"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E40" w:rsidRDefault="008D0E40" w:rsidP="000F1DF9">
      <w:pPr>
        <w:spacing w:after="0" w:line="240" w:lineRule="auto"/>
      </w:pPr>
      <w:r>
        <w:separator/>
      </w:r>
    </w:p>
  </w:endnote>
  <w:endnote w:type="continuationSeparator" w:id="0">
    <w:p w:rsidR="008D0E40" w:rsidRDefault="008D0E4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D0E4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665D5">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665D5">
                <w:rPr>
                  <w:sz w:val="20"/>
                  <w:szCs w:val="20"/>
                </w:rPr>
                <w:t>S.B. 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665D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D0E4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665D5">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665D5">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E40" w:rsidRDefault="008D0E40" w:rsidP="000F1DF9">
      <w:pPr>
        <w:spacing w:after="0" w:line="240" w:lineRule="auto"/>
      </w:pPr>
      <w:r>
        <w:separator/>
      </w:r>
    </w:p>
  </w:footnote>
  <w:footnote w:type="continuationSeparator" w:id="0">
    <w:p w:rsidR="008D0E40" w:rsidRDefault="008D0E4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665D5"/>
    <w:rsid w:val="006D756B"/>
    <w:rsid w:val="00774EC7"/>
    <w:rsid w:val="00833061"/>
    <w:rsid w:val="008A6859"/>
    <w:rsid w:val="008D0E40"/>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65D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65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B4F4B" w:rsidP="009B4F4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FA6B59E99DE46FCAC8D6896B82F9B0B"/>
        <w:category>
          <w:name w:val="General"/>
          <w:gallery w:val="placeholder"/>
        </w:category>
        <w:types>
          <w:type w:val="bbPlcHdr"/>
        </w:types>
        <w:behaviors>
          <w:behavior w:val="content"/>
        </w:behaviors>
        <w:guid w:val="{FCEB247A-70F2-4691-A37E-68F808C2066C}"/>
      </w:docPartPr>
      <w:docPartBody>
        <w:p w:rsidR="00000000" w:rsidRDefault="00570F47"/>
      </w:docPartBody>
    </w:docPart>
    <w:docPart>
      <w:docPartPr>
        <w:name w:val="392F6FA767CE417784CEE01DF9CDB455"/>
        <w:category>
          <w:name w:val="General"/>
          <w:gallery w:val="placeholder"/>
        </w:category>
        <w:types>
          <w:type w:val="bbPlcHdr"/>
        </w:types>
        <w:behaviors>
          <w:behavior w:val="content"/>
        </w:behaviors>
        <w:guid w:val="{2BDB73A0-74FE-48F2-ACED-AD2DF75F7231}"/>
      </w:docPartPr>
      <w:docPartBody>
        <w:p w:rsidR="00000000" w:rsidRDefault="00570F47"/>
      </w:docPartBody>
    </w:docPart>
    <w:docPart>
      <w:docPartPr>
        <w:name w:val="EE767CEB58054410B553EF09FECD82EB"/>
        <w:category>
          <w:name w:val="General"/>
          <w:gallery w:val="placeholder"/>
        </w:category>
        <w:types>
          <w:type w:val="bbPlcHdr"/>
        </w:types>
        <w:behaviors>
          <w:behavior w:val="content"/>
        </w:behaviors>
        <w:guid w:val="{41FDE73F-646D-42BC-80C4-E90C496D88B9}"/>
      </w:docPartPr>
      <w:docPartBody>
        <w:p w:rsidR="00000000" w:rsidRDefault="00570F47"/>
      </w:docPartBody>
    </w:docPart>
    <w:docPart>
      <w:docPartPr>
        <w:name w:val="6D692BC48B354438BEBC826A81F9EA11"/>
        <w:category>
          <w:name w:val="General"/>
          <w:gallery w:val="placeholder"/>
        </w:category>
        <w:types>
          <w:type w:val="bbPlcHdr"/>
        </w:types>
        <w:behaviors>
          <w:behavior w:val="content"/>
        </w:behaviors>
        <w:guid w:val="{3DDE6367-D5B8-4DB9-9C12-C4AFEE0A1EEF}"/>
      </w:docPartPr>
      <w:docPartBody>
        <w:p w:rsidR="00000000" w:rsidRDefault="00570F47"/>
      </w:docPartBody>
    </w:docPart>
    <w:docPart>
      <w:docPartPr>
        <w:name w:val="C16DFE314CE04FBEB5A4DEF2CB24C5A1"/>
        <w:category>
          <w:name w:val="General"/>
          <w:gallery w:val="placeholder"/>
        </w:category>
        <w:types>
          <w:type w:val="bbPlcHdr"/>
        </w:types>
        <w:behaviors>
          <w:behavior w:val="content"/>
        </w:behaviors>
        <w:guid w:val="{65866C56-545E-434F-8825-FBD9AD544D62}"/>
      </w:docPartPr>
      <w:docPartBody>
        <w:p w:rsidR="00000000" w:rsidRDefault="00570F47"/>
      </w:docPartBody>
    </w:docPart>
    <w:docPart>
      <w:docPartPr>
        <w:name w:val="C013513E64974204924D08DEC0A3F411"/>
        <w:category>
          <w:name w:val="General"/>
          <w:gallery w:val="placeholder"/>
        </w:category>
        <w:types>
          <w:type w:val="bbPlcHdr"/>
        </w:types>
        <w:behaviors>
          <w:behavior w:val="content"/>
        </w:behaviors>
        <w:guid w:val="{1593EFC9-4BB7-4B43-870B-94A1CC63DAA4}"/>
      </w:docPartPr>
      <w:docPartBody>
        <w:p w:rsidR="00000000" w:rsidRDefault="00570F47"/>
      </w:docPartBody>
    </w:docPart>
    <w:docPart>
      <w:docPartPr>
        <w:name w:val="E6C3BF6089F6403394AD10E13BECB5DB"/>
        <w:category>
          <w:name w:val="General"/>
          <w:gallery w:val="placeholder"/>
        </w:category>
        <w:types>
          <w:type w:val="bbPlcHdr"/>
        </w:types>
        <w:behaviors>
          <w:behavior w:val="content"/>
        </w:behaviors>
        <w:guid w:val="{DBC9C15B-AAB7-4A5C-B37D-AFA2BD51849E}"/>
      </w:docPartPr>
      <w:docPartBody>
        <w:p w:rsidR="00000000" w:rsidRDefault="00570F47"/>
      </w:docPartBody>
    </w:docPart>
    <w:docPart>
      <w:docPartPr>
        <w:name w:val="95DE736F5CE042568BF301531888AF23"/>
        <w:category>
          <w:name w:val="General"/>
          <w:gallery w:val="placeholder"/>
        </w:category>
        <w:types>
          <w:type w:val="bbPlcHdr"/>
        </w:types>
        <w:behaviors>
          <w:behavior w:val="content"/>
        </w:behaviors>
        <w:guid w:val="{4F988DDE-5E24-463C-B61C-6CB6409ED160}"/>
      </w:docPartPr>
      <w:docPartBody>
        <w:p w:rsidR="00000000" w:rsidRDefault="00570F47"/>
      </w:docPartBody>
    </w:docPart>
    <w:docPart>
      <w:docPartPr>
        <w:name w:val="59D7CA1B85F64D1285BB62AE5B4471C9"/>
        <w:category>
          <w:name w:val="General"/>
          <w:gallery w:val="placeholder"/>
        </w:category>
        <w:types>
          <w:type w:val="bbPlcHdr"/>
        </w:types>
        <w:behaviors>
          <w:behavior w:val="content"/>
        </w:behaviors>
        <w:guid w:val="{513894F6-B463-4DA5-9BAC-A9D8B396CFEA}"/>
      </w:docPartPr>
      <w:docPartBody>
        <w:p w:rsidR="00000000" w:rsidRDefault="009B4F4B" w:rsidP="009B4F4B">
          <w:pPr>
            <w:pStyle w:val="59D7CA1B85F64D1285BB62AE5B4471C9"/>
          </w:pPr>
          <w:r w:rsidRPr="00A30DD1">
            <w:rPr>
              <w:rStyle w:val="PlaceholderText"/>
            </w:rPr>
            <w:t>Click here to enter a date.</w:t>
          </w:r>
        </w:p>
      </w:docPartBody>
    </w:docPart>
    <w:docPart>
      <w:docPartPr>
        <w:name w:val="DB28D9FBED8343C69F44C8A206721CAE"/>
        <w:category>
          <w:name w:val="General"/>
          <w:gallery w:val="placeholder"/>
        </w:category>
        <w:types>
          <w:type w:val="bbPlcHdr"/>
        </w:types>
        <w:behaviors>
          <w:behavior w:val="content"/>
        </w:behaviors>
        <w:guid w:val="{4664137D-5FF3-4789-81F3-A43AFA112FD0}"/>
      </w:docPartPr>
      <w:docPartBody>
        <w:p w:rsidR="00000000" w:rsidRDefault="00570F47"/>
      </w:docPartBody>
    </w:docPart>
    <w:docPart>
      <w:docPartPr>
        <w:name w:val="36237B7F847E4402864C73413DF50512"/>
        <w:category>
          <w:name w:val="General"/>
          <w:gallery w:val="placeholder"/>
        </w:category>
        <w:types>
          <w:type w:val="bbPlcHdr"/>
        </w:types>
        <w:behaviors>
          <w:behavior w:val="content"/>
        </w:behaviors>
        <w:guid w:val="{7F9C3901-DDE1-463E-BDCB-D04B08B84E15}"/>
      </w:docPartPr>
      <w:docPartBody>
        <w:p w:rsidR="00000000" w:rsidRDefault="00570F47"/>
      </w:docPartBody>
    </w:docPart>
    <w:docPart>
      <w:docPartPr>
        <w:name w:val="DE88F450F3064049A415ED28AEA0EAA6"/>
        <w:category>
          <w:name w:val="General"/>
          <w:gallery w:val="placeholder"/>
        </w:category>
        <w:types>
          <w:type w:val="bbPlcHdr"/>
        </w:types>
        <w:behaviors>
          <w:behavior w:val="content"/>
        </w:behaviors>
        <w:guid w:val="{C72C97A1-AC6F-4EC2-BD6E-1F0117B3CA16}"/>
      </w:docPartPr>
      <w:docPartBody>
        <w:p w:rsidR="00000000" w:rsidRDefault="009B4F4B" w:rsidP="009B4F4B">
          <w:pPr>
            <w:pStyle w:val="DE88F450F3064049A415ED28AEA0EAA6"/>
          </w:pPr>
          <w:r>
            <w:rPr>
              <w:rFonts w:eastAsia="Times New Roman" w:cs="Times New Roman"/>
              <w:bCs/>
              <w:szCs w:val="24"/>
            </w:rPr>
            <w:t xml:space="preserve"> </w:t>
          </w:r>
        </w:p>
      </w:docPartBody>
    </w:docPart>
    <w:docPart>
      <w:docPartPr>
        <w:name w:val="80F6B01D91164B9D8B913FB15BECDF87"/>
        <w:category>
          <w:name w:val="General"/>
          <w:gallery w:val="placeholder"/>
        </w:category>
        <w:types>
          <w:type w:val="bbPlcHdr"/>
        </w:types>
        <w:behaviors>
          <w:behavior w:val="content"/>
        </w:behaviors>
        <w:guid w:val="{CAD0369D-C974-4B50-AA10-A8F08C0A34F8}"/>
      </w:docPartPr>
      <w:docPartBody>
        <w:p w:rsidR="00000000" w:rsidRDefault="00570F47"/>
      </w:docPartBody>
    </w:docPart>
    <w:docPart>
      <w:docPartPr>
        <w:name w:val="1496B1CCB4504AF4AD32A7E552C4C3C8"/>
        <w:category>
          <w:name w:val="General"/>
          <w:gallery w:val="placeholder"/>
        </w:category>
        <w:types>
          <w:type w:val="bbPlcHdr"/>
        </w:types>
        <w:behaviors>
          <w:behavior w:val="content"/>
        </w:behaviors>
        <w:guid w:val="{5AA5764A-4539-49B0-B44B-F08F3206F45C}"/>
      </w:docPartPr>
      <w:docPartBody>
        <w:p w:rsidR="00000000" w:rsidRDefault="00570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0F47"/>
    <w:rsid w:val="00576003"/>
    <w:rsid w:val="005B408E"/>
    <w:rsid w:val="005D31F2"/>
    <w:rsid w:val="00635291"/>
    <w:rsid w:val="006959CC"/>
    <w:rsid w:val="00696675"/>
    <w:rsid w:val="006B0016"/>
    <w:rsid w:val="008C55F7"/>
    <w:rsid w:val="0090598B"/>
    <w:rsid w:val="00984D6C"/>
    <w:rsid w:val="009B4F4B"/>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F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4F4B"/>
    <w:rPr>
      <w:rFonts w:ascii="Times New Roman" w:hAnsi="Times New Roman"/>
      <w:sz w:val="24"/>
    </w:rPr>
  </w:style>
  <w:style w:type="paragraph" w:customStyle="1" w:styleId="487D89B4F8B34DB4967D41FE18F7F88D7">
    <w:name w:val="487D89B4F8B34DB4967D41FE18F7F88D7"/>
    <w:rsid w:val="009B4F4B"/>
    <w:rPr>
      <w:rFonts w:ascii="Times New Roman" w:hAnsi="Times New Roman"/>
      <w:sz w:val="24"/>
    </w:rPr>
  </w:style>
  <w:style w:type="paragraph" w:customStyle="1" w:styleId="AE2570ED5D764CD7AF9686706F550F4620">
    <w:name w:val="AE2570ED5D764CD7AF9686706F550F4620"/>
    <w:rsid w:val="009B4F4B"/>
    <w:pPr>
      <w:tabs>
        <w:tab w:val="center" w:pos="4680"/>
        <w:tab w:val="right" w:pos="9360"/>
      </w:tabs>
      <w:spacing w:after="0" w:line="240" w:lineRule="auto"/>
    </w:pPr>
    <w:rPr>
      <w:rFonts w:ascii="Times New Roman" w:hAnsi="Times New Roman"/>
      <w:sz w:val="24"/>
    </w:rPr>
  </w:style>
  <w:style w:type="paragraph" w:customStyle="1" w:styleId="59D7CA1B85F64D1285BB62AE5B4471C9">
    <w:name w:val="59D7CA1B85F64D1285BB62AE5B4471C9"/>
    <w:rsid w:val="009B4F4B"/>
  </w:style>
  <w:style w:type="paragraph" w:customStyle="1" w:styleId="DE88F450F3064049A415ED28AEA0EAA6">
    <w:name w:val="DE88F450F3064049A415ED28AEA0EAA6"/>
    <w:rsid w:val="009B4F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F4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4F4B"/>
    <w:rPr>
      <w:rFonts w:ascii="Times New Roman" w:hAnsi="Times New Roman"/>
      <w:sz w:val="24"/>
    </w:rPr>
  </w:style>
  <w:style w:type="paragraph" w:customStyle="1" w:styleId="487D89B4F8B34DB4967D41FE18F7F88D7">
    <w:name w:val="487D89B4F8B34DB4967D41FE18F7F88D7"/>
    <w:rsid w:val="009B4F4B"/>
    <w:rPr>
      <w:rFonts w:ascii="Times New Roman" w:hAnsi="Times New Roman"/>
      <w:sz w:val="24"/>
    </w:rPr>
  </w:style>
  <w:style w:type="paragraph" w:customStyle="1" w:styleId="AE2570ED5D764CD7AF9686706F550F4620">
    <w:name w:val="AE2570ED5D764CD7AF9686706F550F4620"/>
    <w:rsid w:val="009B4F4B"/>
    <w:pPr>
      <w:tabs>
        <w:tab w:val="center" w:pos="4680"/>
        <w:tab w:val="right" w:pos="9360"/>
      </w:tabs>
      <w:spacing w:after="0" w:line="240" w:lineRule="auto"/>
    </w:pPr>
    <w:rPr>
      <w:rFonts w:ascii="Times New Roman" w:hAnsi="Times New Roman"/>
      <w:sz w:val="24"/>
    </w:rPr>
  </w:style>
  <w:style w:type="paragraph" w:customStyle="1" w:styleId="59D7CA1B85F64D1285BB62AE5B4471C9">
    <w:name w:val="59D7CA1B85F64D1285BB62AE5B4471C9"/>
    <w:rsid w:val="009B4F4B"/>
  </w:style>
  <w:style w:type="paragraph" w:customStyle="1" w:styleId="DE88F450F3064049A415ED28AEA0EAA6">
    <w:name w:val="DE88F450F3064049A415ED28AEA0EAA6"/>
    <w:rsid w:val="009B4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79A4480-375D-4300-8C61-3BB89878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1959</Words>
  <Characters>11167</Characters>
  <Application>Microsoft Office Word</Application>
  <DocSecurity>0</DocSecurity>
  <Lines>93</Lines>
  <Paragraphs>26</Paragraphs>
  <ScaleCrop>false</ScaleCrop>
  <Company>Texas Legislative Council</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2017-03-01T18:51:00Z</cp:lastPrinted>
  <dcterms:created xsi:type="dcterms:W3CDTF">2015-05-29T14:24:00Z</dcterms:created>
  <dcterms:modified xsi:type="dcterms:W3CDTF">2017-03-01T18:52:00Z</dcterms:modified>
</cp:coreProperties>
</file>

<file path=docProps/custom.xml><?xml version="1.0" encoding="utf-8"?>
<op:Properties xmlns:vt="http://schemas.openxmlformats.org/officeDocument/2006/docPropsVTypes" xmlns:op="http://schemas.openxmlformats.org/officeDocument/2006/custom-properties"/>
</file>