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1F2FC8" w:rsidTr="00345119">
        <w:tc>
          <w:tcPr>
            <w:tcW w:w="9576" w:type="dxa"/>
            <w:noWrap/>
          </w:tcPr>
          <w:p w:rsidR="008423E4" w:rsidRPr="0022177D" w:rsidRDefault="00EC40AE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EC40AE" w:rsidP="008423E4">
      <w:pPr>
        <w:jc w:val="center"/>
      </w:pPr>
    </w:p>
    <w:p w:rsidR="008423E4" w:rsidRPr="00B31F0E" w:rsidRDefault="00EC40AE" w:rsidP="008423E4"/>
    <w:p w:rsidR="008423E4" w:rsidRPr="00742794" w:rsidRDefault="00EC40AE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F2FC8" w:rsidTr="00345119">
        <w:tc>
          <w:tcPr>
            <w:tcW w:w="9576" w:type="dxa"/>
          </w:tcPr>
          <w:p w:rsidR="008423E4" w:rsidRPr="00861995" w:rsidRDefault="00EC40AE" w:rsidP="00345119">
            <w:pPr>
              <w:jc w:val="right"/>
            </w:pPr>
            <w:r>
              <w:t>H.B. 3270</w:t>
            </w:r>
          </w:p>
        </w:tc>
      </w:tr>
      <w:tr w:rsidR="001F2FC8" w:rsidTr="00345119">
        <w:tc>
          <w:tcPr>
            <w:tcW w:w="9576" w:type="dxa"/>
          </w:tcPr>
          <w:p w:rsidR="008423E4" w:rsidRPr="00861995" w:rsidRDefault="00EC40AE" w:rsidP="005B2D93">
            <w:pPr>
              <w:jc w:val="right"/>
            </w:pPr>
            <w:r>
              <w:t xml:space="preserve">By: </w:t>
            </w:r>
            <w:r>
              <w:t>Bohac</w:t>
            </w:r>
          </w:p>
        </w:tc>
      </w:tr>
      <w:tr w:rsidR="001F2FC8" w:rsidTr="00345119">
        <w:tc>
          <w:tcPr>
            <w:tcW w:w="9576" w:type="dxa"/>
          </w:tcPr>
          <w:p w:rsidR="008423E4" w:rsidRPr="00861995" w:rsidRDefault="00EC40AE" w:rsidP="00345119">
            <w:pPr>
              <w:jc w:val="right"/>
            </w:pPr>
            <w:r>
              <w:t>Public Education</w:t>
            </w:r>
          </w:p>
        </w:tc>
      </w:tr>
      <w:tr w:rsidR="001F2FC8" w:rsidTr="00345119">
        <w:tc>
          <w:tcPr>
            <w:tcW w:w="9576" w:type="dxa"/>
          </w:tcPr>
          <w:p w:rsidR="008423E4" w:rsidRDefault="00EC40AE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EC40AE" w:rsidP="008423E4">
      <w:pPr>
        <w:tabs>
          <w:tab w:val="right" w:pos="9360"/>
        </w:tabs>
      </w:pPr>
    </w:p>
    <w:p w:rsidR="008423E4" w:rsidRDefault="00EC40AE" w:rsidP="008423E4"/>
    <w:p w:rsidR="008423E4" w:rsidRDefault="00EC40AE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1F2FC8" w:rsidTr="00345119">
        <w:tc>
          <w:tcPr>
            <w:tcW w:w="9576" w:type="dxa"/>
          </w:tcPr>
          <w:p w:rsidR="008423E4" w:rsidRPr="00A8133F" w:rsidRDefault="00EC40AE" w:rsidP="006B32C8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EC40AE" w:rsidP="006B32C8"/>
          <w:p w:rsidR="008423E4" w:rsidRDefault="00EC40AE" w:rsidP="006B32C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737055">
              <w:t xml:space="preserve">Concerns have been raised </w:t>
            </w:r>
            <w:r>
              <w:t>regarding</w:t>
            </w:r>
            <w:r w:rsidRPr="00737055">
              <w:t xml:space="preserve"> </w:t>
            </w:r>
            <w:r w:rsidRPr="00737055">
              <w:t xml:space="preserve">the confusion among </w:t>
            </w:r>
            <w:r>
              <w:t xml:space="preserve">public </w:t>
            </w:r>
            <w:r w:rsidRPr="00737055">
              <w:t xml:space="preserve">school districts </w:t>
            </w:r>
            <w:r>
              <w:t xml:space="preserve">as to whether background checks are supposed to be </w:t>
            </w:r>
            <w:r>
              <w:t>conducted for employees of a contracting or subcontracting entity and, if so, for which purposes</w:t>
            </w:r>
            <w:r w:rsidRPr="00737055">
              <w:t xml:space="preserve">. H.B. 3270 seeks to </w:t>
            </w:r>
            <w:r>
              <w:t>eliminate this confusion</w:t>
            </w:r>
            <w:r w:rsidRPr="00737055">
              <w:t>.</w:t>
            </w:r>
          </w:p>
          <w:p w:rsidR="008423E4" w:rsidRPr="00E26B13" w:rsidRDefault="00EC40AE" w:rsidP="006B32C8">
            <w:pPr>
              <w:rPr>
                <w:b/>
              </w:rPr>
            </w:pPr>
          </w:p>
        </w:tc>
      </w:tr>
      <w:tr w:rsidR="001F2FC8" w:rsidTr="00345119">
        <w:tc>
          <w:tcPr>
            <w:tcW w:w="9576" w:type="dxa"/>
          </w:tcPr>
          <w:p w:rsidR="0017725B" w:rsidRDefault="00EC40AE" w:rsidP="006B32C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EC40AE" w:rsidP="006B32C8">
            <w:pPr>
              <w:rPr>
                <w:b/>
                <w:u w:val="single"/>
              </w:rPr>
            </w:pPr>
          </w:p>
          <w:p w:rsidR="00D67603" w:rsidRPr="00D67603" w:rsidRDefault="00EC40AE" w:rsidP="006B32C8">
            <w:pPr>
              <w:jc w:val="both"/>
            </w:pPr>
            <w:r>
              <w:t>It is the committee's opinion that this bill does not expressly create a criminal offe</w:t>
            </w:r>
            <w:r>
              <w:t>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EC40AE" w:rsidP="006B32C8">
            <w:pPr>
              <w:rPr>
                <w:b/>
                <w:u w:val="single"/>
              </w:rPr>
            </w:pPr>
          </w:p>
        </w:tc>
      </w:tr>
      <w:tr w:rsidR="001F2FC8" w:rsidTr="00345119">
        <w:tc>
          <w:tcPr>
            <w:tcW w:w="9576" w:type="dxa"/>
          </w:tcPr>
          <w:p w:rsidR="008423E4" w:rsidRPr="00A8133F" w:rsidRDefault="00EC40AE" w:rsidP="006B32C8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EC40AE" w:rsidP="006B32C8"/>
          <w:p w:rsidR="001C5868" w:rsidRDefault="00EC40AE" w:rsidP="006B32C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rulemaking</w:t>
            </w:r>
            <w:r>
              <w:t xml:space="preserve"> authority is expressly granted to the commissioner of education in SECTION 2 of this bill.</w:t>
            </w:r>
          </w:p>
          <w:p w:rsidR="008423E4" w:rsidRPr="00E21FDC" w:rsidRDefault="00EC40AE" w:rsidP="006B32C8">
            <w:pPr>
              <w:rPr>
                <w:b/>
              </w:rPr>
            </w:pPr>
          </w:p>
        </w:tc>
      </w:tr>
      <w:tr w:rsidR="001F2FC8" w:rsidTr="00345119">
        <w:tc>
          <w:tcPr>
            <w:tcW w:w="9576" w:type="dxa"/>
          </w:tcPr>
          <w:p w:rsidR="008423E4" w:rsidRPr="00A8133F" w:rsidRDefault="00EC40AE" w:rsidP="006B32C8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EC40AE" w:rsidP="006B32C8"/>
          <w:p w:rsidR="008423E4" w:rsidRDefault="00EC40AE" w:rsidP="006B32C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3270 amends the Education Code to </w:t>
            </w:r>
            <w:r>
              <w:t xml:space="preserve">prohibit a contracting entity </w:t>
            </w:r>
            <w:r w:rsidRPr="00E16987">
              <w:t>or subcontracting entity</w:t>
            </w:r>
            <w:r>
              <w:t xml:space="preserve"> from permitting </w:t>
            </w:r>
            <w:r w:rsidRPr="00E16987">
              <w:t>an employee</w:t>
            </w:r>
            <w:r>
              <w:t xml:space="preserve"> with the following characteristics</w:t>
            </w:r>
            <w:r>
              <w:t xml:space="preserve"> </w:t>
            </w:r>
            <w:r w:rsidRPr="00E16987">
              <w:t>to provide services at an instructional facility</w:t>
            </w:r>
            <w:r>
              <w:t xml:space="preserve"> that is used predominantly for teaching the foundation curriculum</w:t>
            </w:r>
            <w:r>
              <w:t xml:space="preserve"> and an enrichment curriculum</w:t>
            </w:r>
            <w:r>
              <w:t>:</w:t>
            </w:r>
            <w:r w:rsidRPr="00E16987">
              <w:t xml:space="preserve"> </w:t>
            </w:r>
            <w:r>
              <w:t>an employee who</w:t>
            </w:r>
            <w:r w:rsidRPr="00E16987">
              <w:t xml:space="preserve">, during the preceding 30 years, was convicted of </w:t>
            </w:r>
            <w:r w:rsidRPr="00E16987">
              <w:t xml:space="preserve">a felony </w:t>
            </w:r>
            <w:r>
              <w:t>c</w:t>
            </w:r>
            <w:r>
              <w:t xml:space="preserve">ategorized as an </w:t>
            </w:r>
            <w:r w:rsidRPr="00E16987">
              <w:t xml:space="preserve">offense </w:t>
            </w:r>
            <w:r>
              <w:t xml:space="preserve">against the person, </w:t>
            </w:r>
            <w:r w:rsidRPr="00E16987">
              <w:t>an offense on conviction of which a defendant is required to register as a sex offender</w:t>
            </w:r>
            <w:r>
              <w:t xml:space="preserve">, </w:t>
            </w:r>
            <w:r>
              <w:t xml:space="preserve">or </w:t>
            </w:r>
            <w:r w:rsidRPr="00E16987">
              <w:t xml:space="preserve">an offense under the laws of another state or federal law that is equivalent to </w:t>
            </w:r>
            <w:r>
              <w:t>either</w:t>
            </w:r>
            <w:r w:rsidRPr="00E16987">
              <w:t xml:space="preserve"> offense</w:t>
            </w:r>
            <w:r>
              <w:t xml:space="preserve"> </w:t>
            </w:r>
            <w:r>
              <w:t>against a</w:t>
            </w:r>
            <w:r w:rsidRPr="00E16987">
              <w:t xml:space="preserve"> victim </w:t>
            </w:r>
            <w:r>
              <w:t xml:space="preserve">who </w:t>
            </w:r>
            <w:r w:rsidRPr="00E16987">
              <w:t>was</w:t>
            </w:r>
            <w:r w:rsidRPr="00E16987">
              <w:t xml:space="preserve"> under 18 years of age or was enrolled in a public school</w:t>
            </w:r>
            <w:r>
              <w:t xml:space="preserve">; </w:t>
            </w:r>
            <w:r w:rsidRPr="00E16987">
              <w:t>who is not an applicant for or holder of a</w:t>
            </w:r>
            <w:r>
              <w:t>n</w:t>
            </w:r>
            <w:r>
              <w:t xml:space="preserve"> educator</w:t>
            </w:r>
            <w:r w:rsidRPr="00E16987">
              <w:t xml:space="preserve"> certificat</w:t>
            </w:r>
            <w:r>
              <w:t>ion</w:t>
            </w:r>
            <w:r>
              <w:t>;</w:t>
            </w:r>
            <w:r>
              <w:t xml:space="preserve"> </w:t>
            </w:r>
            <w:r w:rsidRPr="00E16987">
              <w:t xml:space="preserve">and who is employed by </w:t>
            </w:r>
            <w:r>
              <w:t>the</w:t>
            </w:r>
            <w:r w:rsidRPr="00E16987">
              <w:t xml:space="preserve"> </w:t>
            </w:r>
            <w:r w:rsidRPr="00E16987">
              <w:t>contracting or subcontracting entity on a project to design, construct, alter, or repair a public work</w:t>
            </w:r>
            <w:r w:rsidRPr="00E16987">
              <w:t xml:space="preserve"> if the </w:t>
            </w:r>
            <w:r>
              <w:t xml:space="preserve">employee </w:t>
            </w:r>
            <w:r w:rsidRPr="00E16987">
              <w:t>has or will have</w:t>
            </w:r>
            <w:r>
              <w:t xml:space="preserve"> </w:t>
            </w:r>
            <w:r w:rsidRPr="00E16987">
              <w:t>continuing duties related to the contracted services and</w:t>
            </w:r>
            <w:r>
              <w:t xml:space="preserve"> </w:t>
            </w:r>
            <w:r w:rsidRPr="00E16987">
              <w:t xml:space="preserve">the opportunity for direct contact with students in connection with the </w:t>
            </w:r>
            <w:r>
              <w:t xml:space="preserve">employee's </w:t>
            </w:r>
            <w:r w:rsidRPr="00E16987">
              <w:t>continuing duties.</w:t>
            </w:r>
            <w:r>
              <w:t xml:space="preserve"> The bill establishes </w:t>
            </w:r>
            <w:r>
              <w:t xml:space="preserve">the conditions under which </w:t>
            </w:r>
            <w:r>
              <w:t xml:space="preserve">a person </w:t>
            </w:r>
            <w:r>
              <w:t>is not</w:t>
            </w:r>
            <w:r>
              <w:t xml:space="preserve"> considered to </w:t>
            </w:r>
            <w:r>
              <w:t xml:space="preserve">have </w:t>
            </w:r>
            <w:r w:rsidRPr="003C0BD6">
              <w:t>the opportunity for direct contact with students</w:t>
            </w:r>
            <w:r>
              <w:t>.</w:t>
            </w:r>
          </w:p>
          <w:p w:rsidR="003C0BD6" w:rsidRDefault="00EC40AE" w:rsidP="006B32C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3C0BD6" w:rsidRDefault="00EC40AE" w:rsidP="006B32C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>
              <w:t xml:space="preserve">3270 requires the contracting entity or </w:t>
            </w:r>
            <w:r w:rsidRPr="00EC6F31">
              <w:t>subcontracting entity that employs</w:t>
            </w:r>
            <w:r>
              <w:t xml:space="preserve"> a person </w:t>
            </w:r>
            <w:r>
              <w:t xml:space="preserve">for such a public work project </w:t>
            </w:r>
            <w:r>
              <w:t xml:space="preserve">to </w:t>
            </w:r>
            <w:r w:rsidRPr="00EC6F31">
              <w:t>send or ensure that the person sends to the</w:t>
            </w:r>
            <w:r>
              <w:t xml:space="preserve"> Department of Public Safety (DPS) </w:t>
            </w:r>
            <w:r w:rsidRPr="00EC6F31">
              <w:t>information that is required by</w:t>
            </w:r>
            <w:r>
              <w:t xml:space="preserve"> DPS </w:t>
            </w:r>
            <w:r w:rsidRPr="00EC6F31">
              <w:t>for obtaining national criminal history record information, which may include fingerprints and photographs;</w:t>
            </w:r>
            <w:r>
              <w:t xml:space="preserve"> </w:t>
            </w:r>
            <w:r w:rsidRPr="00EC6F31">
              <w:t>obtain all criminal history record information that relates to the person thr</w:t>
            </w:r>
            <w:r w:rsidRPr="00EC6F31">
              <w:t>ough the criminal history clearinghouse</w:t>
            </w:r>
            <w:r>
              <w:t>;</w:t>
            </w:r>
            <w:r>
              <w:t xml:space="preserve"> and </w:t>
            </w:r>
            <w:r w:rsidRPr="00EC6F31">
              <w:t xml:space="preserve">certify to the </w:t>
            </w:r>
            <w:r>
              <w:t xml:space="preserve">public </w:t>
            </w:r>
            <w:r w:rsidRPr="00EC6F31">
              <w:t>school district, open-enrollment charter school, shared services arrangement, or contracting entity, as applicable, that the contracting entity or subcontracting entity that employs the per</w:t>
            </w:r>
            <w:r w:rsidRPr="00EC6F31">
              <w:t>son has received all criminal history record information relating to the person.</w:t>
            </w:r>
            <w:r>
              <w:t xml:space="preserve"> The bill requires a </w:t>
            </w:r>
            <w:r w:rsidRPr="0022200E">
              <w:t>contracting entity</w:t>
            </w:r>
            <w:r>
              <w:t xml:space="preserve"> to </w:t>
            </w:r>
            <w:r w:rsidRPr="0022200E">
              <w:t>certify to the district, charter school, or shared services arrangement, as applicable, that the contracting entity has obtained writ</w:t>
            </w:r>
            <w:r w:rsidRPr="0022200E">
              <w:t>ten certifications from any subcontracting entity that the subcontracting entity has complied with</w:t>
            </w:r>
            <w:r>
              <w:t xml:space="preserve"> these requirements</w:t>
            </w:r>
            <w:r>
              <w:t xml:space="preserve"> as they relate to the subcontracting entity's employees</w:t>
            </w:r>
            <w:r>
              <w:t>.</w:t>
            </w:r>
            <w:r>
              <w:t xml:space="preserve"> The bill requires DPS, on receipt of the</w:t>
            </w:r>
            <w:r>
              <w:t xml:space="preserve"> </w:t>
            </w:r>
            <w:r>
              <w:lastRenderedPageBreak/>
              <w:t>required</w:t>
            </w:r>
            <w:r>
              <w:t xml:space="preserve"> </w:t>
            </w:r>
            <w:r w:rsidRPr="00EC6F31">
              <w:t xml:space="preserve">information </w:t>
            </w:r>
            <w:r>
              <w:t>from a</w:t>
            </w:r>
            <w:r>
              <w:t xml:space="preserve"> </w:t>
            </w:r>
            <w:r>
              <w:t xml:space="preserve">contracting </w:t>
            </w:r>
            <w:r>
              <w:t xml:space="preserve">or subcontracting entity, </w:t>
            </w:r>
            <w:r>
              <w:t xml:space="preserve">to </w:t>
            </w:r>
            <w:r w:rsidRPr="0022200E">
              <w:t>obtain the person's national criminal history record information and report the results through the criminal history clearinghouse</w:t>
            </w:r>
            <w:r>
              <w:t>.</w:t>
            </w:r>
          </w:p>
          <w:p w:rsidR="0022200E" w:rsidRDefault="00EC40AE" w:rsidP="006B32C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22200E" w:rsidRDefault="00EC40AE" w:rsidP="006B32C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3270 authorizes a </w:t>
            </w:r>
            <w:r w:rsidRPr="0022200E">
              <w:t>district, charter school, or shared services arrangement</w:t>
            </w:r>
            <w:r>
              <w:t xml:space="preserve"> to directly ob</w:t>
            </w:r>
            <w:r>
              <w:t xml:space="preserve">tain </w:t>
            </w:r>
            <w:r w:rsidRPr="0022200E">
              <w:t>through the criminal history clearinghouse</w:t>
            </w:r>
            <w:r>
              <w:t xml:space="preserve"> </w:t>
            </w:r>
            <w:r>
              <w:t xml:space="preserve">the criminal history record information of a person </w:t>
            </w:r>
            <w:r>
              <w:t>employed</w:t>
            </w:r>
            <w:r w:rsidRPr="00922AB7">
              <w:t xml:space="preserve"> for such a public work project</w:t>
            </w:r>
            <w:r>
              <w:t xml:space="preserve">. </w:t>
            </w:r>
            <w:r>
              <w:t xml:space="preserve">The bill requires </w:t>
            </w:r>
            <w:r>
              <w:t xml:space="preserve">a </w:t>
            </w:r>
            <w:r w:rsidRPr="00C85BB6">
              <w:t>contracting or subcontracting</w:t>
            </w:r>
            <w:r>
              <w:t xml:space="preserve"> entity</w:t>
            </w:r>
            <w:r>
              <w:t xml:space="preserve"> that </w:t>
            </w:r>
            <w:r>
              <w:t xml:space="preserve">determines </w:t>
            </w:r>
            <w:r>
              <w:t>the bill's provisions do not apply to an e</w:t>
            </w:r>
            <w:r>
              <w:t xml:space="preserve">mployee to make a </w:t>
            </w:r>
            <w:r w:rsidRPr="006C12D9">
              <w:t xml:space="preserve">reasonable effort to ensure that the conditions or precautions that resulted in </w:t>
            </w:r>
            <w:r w:rsidRPr="006C12D9">
              <w:t>th</w:t>
            </w:r>
            <w:r>
              <w:t>at</w:t>
            </w:r>
            <w:r w:rsidRPr="006C12D9">
              <w:t xml:space="preserve"> </w:t>
            </w:r>
            <w:r w:rsidRPr="006C12D9">
              <w:t>determination</w:t>
            </w:r>
            <w:r>
              <w:t xml:space="preserve"> </w:t>
            </w:r>
            <w:r w:rsidRPr="006C12D9">
              <w:t>continue to exist throughout the time that the contracted services are provided.</w:t>
            </w:r>
            <w:r>
              <w:t xml:space="preserve"> </w:t>
            </w:r>
            <w:r>
              <w:t xml:space="preserve">The bill authorizes </w:t>
            </w:r>
            <w:r w:rsidRPr="00382C8F">
              <w:t xml:space="preserve">a district, charter school, or shared </w:t>
            </w:r>
            <w:r w:rsidRPr="00382C8F">
              <w:t>services arrangement</w:t>
            </w:r>
            <w:r>
              <w:t xml:space="preserve">, in the event of an emergency, to allow a person </w:t>
            </w:r>
            <w:r>
              <w:t>employed for such a public work project</w:t>
            </w:r>
            <w:r>
              <w:t xml:space="preserve"> to enter an </w:t>
            </w:r>
            <w:r w:rsidRPr="00382C8F">
              <w:t>instructional facility if the person is accompanied by an employee of the district, school, or arrangement</w:t>
            </w:r>
            <w:r>
              <w:t xml:space="preserve"> and</w:t>
            </w:r>
            <w:r>
              <w:t xml:space="preserve"> authorizes a </w:t>
            </w:r>
            <w:r w:rsidRPr="00382C8F">
              <w:t xml:space="preserve">district, </w:t>
            </w:r>
            <w:r w:rsidRPr="00382C8F">
              <w:t>charter school, or shared services arrangement</w:t>
            </w:r>
            <w:r>
              <w:t xml:space="preserve"> to </w:t>
            </w:r>
            <w:r w:rsidRPr="00382C8F">
              <w:t>adopt</w:t>
            </w:r>
            <w:r>
              <w:t xml:space="preserve"> a policy regarding </w:t>
            </w:r>
            <w:r>
              <w:t xml:space="preserve">such </w:t>
            </w:r>
            <w:r>
              <w:t>an emergency</w:t>
            </w:r>
            <w:r w:rsidRPr="00382C8F">
              <w:t>.</w:t>
            </w:r>
            <w:r>
              <w:t xml:space="preserve"> The bill </w:t>
            </w:r>
            <w:r>
              <w:t xml:space="preserve">authorizes </w:t>
            </w:r>
            <w:r>
              <w:t xml:space="preserve">the commissioner of education to adopt rules to implement the bill's provisions. </w:t>
            </w:r>
          </w:p>
          <w:p w:rsidR="00D10DB0" w:rsidRDefault="00EC40AE" w:rsidP="006B32C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D10DB0" w:rsidRDefault="00EC40AE" w:rsidP="006B32C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3270 excludes</w:t>
            </w:r>
            <w:r>
              <w:t xml:space="preserve"> a contracting entity, subcontracting entity, or other person subject to the bill's provisions from statutory requirements relating to a review of the criminal history record information of certain employees</w:t>
            </w:r>
            <w:r>
              <w:t xml:space="preserve"> of an entity that contracts with a district, cha</w:t>
            </w:r>
            <w:r>
              <w:t>rter school, or shared services arrangement and</w:t>
            </w:r>
            <w:r>
              <w:t xml:space="preserve"> requires a district, charter school, or shared services arrangement to ensure that </w:t>
            </w:r>
            <w:r>
              <w:t xml:space="preserve">such </w:t>
            </w:r>
            <w:r>
              <w:t>a</w:t>
            </w:r>
            <w:r>
              <w:t xml:space="preserve"> contract</w:t>
            </w:r>
            <w:r w:rsidRPr="00D10DB0">
              <w:t xml:space="preserve"> entity has obtained all criminal history record information as required</w:t>
            </w:r>
            <w:r>
              <w:t xml:space="preserve"> by the bill. </w:t>
            </w:r>
          </w:p>
          <w:p w:rsidR="00CA4593" w:rsidRDefault="00EC40AE" w:rsidP="006B32C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382C8F" w:rsidRDefault="00EC40AE" w:rsidP="006B32C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3270 amends the G</w:t>
            </w:r>
            <w:r>
              <w:t xml:space="preserve">overnment Code to make </w:t>
            </w:r>
            <w:r>
              <w:t xml:space="preserve">a </w:t>
            </w:r>
            <w:r>
              <w:t xml:space="preserve">conforming change. </w:t>
            </w:r>
          </w:p>
          <w:p w:rsidR="008423E4" w:rsidRPr="00835628" w:rsidRDefault="00EC40AE" w:rsidP="006B32C8">
            <w:pPr>
              <w:rPr>
                <w:b/>
              </w:rPr>
            </w:pPr>
          </w:p>
        </w:tc>
      </w:tr>
      <w:tr w:rsidR="001F2FC8" w:rsidTr="00345119">
        <w:tc>
          <w:tcPr>
            <w:tcW w:w="9576" w:type="dxa"/>
          </w:tcPr>
          <w:p w:rsidR="008423E4" w:rsidRPr="00A8133F" w:rsidRDefault="00EC40AE" w:rsidP="006B32C8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EC40AE" w:rsidP="006B32C8"/>
          <w:p w:rsidR="008423E4" w:rsidRPr="003624F2" w:rsidRDefault="00EC40AE" w:rsidP="006B32C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EC40AE" w:rsidP="006B32C8">
            <w:pPr>
              <w:rPr>
                <w:b/>
              </w:rPr>
            </w:pPr>
          </w:p>
        </w:tc>
      </w:tr>
    </w:tbl>
    <w:p w:rsidR="008423E4" w:rsidRPr="00BE0E75" w:rsidRDefault="00EC40AE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EC40AE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40AE">
      <w:r>
        <w:separator/>
      </w:r>
    </w:p>
  </w:endnote>
  <w:endnote w:type="continuationSeparator" w:id="0">
    <w:p w:rsidR="00000000" w:rsidRDefault="00EC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F2FC8" w:rsidTr="009C1E9A">
      <w:trPr>
        <w:cantSplit/>
      </w:trPr>
      <w:tc>
        <w:tcPr>
          <w:tcW w:w="0" w:type="pct"/>
        </w:tcPr>
        <w:p w:rsidR="00137D90" w:rsidRDefault="00EC40A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EC40A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EC40A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EC40A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EC40A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F2FC8" w:rsidTr="009C1E9A">
      <w:trPr>
        <w:cantSplit/>
      </w:trPr>
      <w:tc>
        <w:tcPr>
          <w:tcW w:w="0" w:type="pct"/>
        </w:tcPr>
        <w:p w:rsidR="00EC379B" w:rsidRDefault="00EC40A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EC40A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25993</w:t>
          </w:r>
        </w:p>
      </w:tc>
      <w:tc>
        <w:tcPr>
          <w:tcW w:w="2453" w:type="pct"/>
        </w:tcPr>
        <w:p w:rsidR="00EC379B" w:rsidRDefault="00EC40A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17.115.4</w:t>
          </w:r>
          <w:r>
            <w:fldChar w:fldCharType="end"/>
          </w:r>
        </w:p>
      </w:tc>
    </w:tr>
    <w:tr w:rsidR="001F2FC8" w:rsidTr="009C1E9A">
      <w:trPr>
        <w:cantSplit/>
      </w:trPr>
      <w:tc>
        <w:tcPr>
          <w:tcW w:w="0" w:type="pct"/>
        </w:tcPr>
        <w:p w:rsidR="00EC379B" w:rsidRDefault="00EC40A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EC40A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EC40AE" w:rsidP="006D504F">
          <w:pPr>
            <w:pStyle w:val="Footer"/>
            <w:rPr>
              <w:rStyle w:val="PageNumber"/>
            </w:rPr>
          </w:pPr>
        </w:p>
        <w:p w:rsidR="00EC379B" w:rsidRDefault="00EC40A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F2FC8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EC40A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EC40AE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EC40AE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40AE">
      <w:r>
        <w:separator/>
      </w:r>
    </w:p>
  </w:footnote>
  <w:footnote w:type="continuationSeparator" w:id="0">
    <w:p w:rsidR="00000000" w:rsidRDefault="00EC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C8"/>
    <w:rsid w:val="001F2FC8"/>
    <w:rsid w:val="00EC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169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6987"/>
  </w:style>
  <w:style w:type="paragraph" w:styleId="CommentSubject">
    <w:name w:val="annotation subject"/>
    <w:basedOn w:val="CommentText"/>
    <w:next w:val="CommentText"/>
    <w:link w:val="CommentSubjectChar"/>
    <w:rsid w:val="00E16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6987"/>
    <w:rPr>
      <w:b/>
      <w:bCs/>
    </w:rPr>
  </w:style>
  <w:style w:type="character" w:styleId="Hyperlink">
    <w:name w:val="Hyperlink"/>
    <w:basedOn w:val="DefaultParagraphFont"/>
    <w:rsid w:val="007C4A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852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169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6987"/>
  </w:style>
  <w:style w:type="paragraph" w:styleId="CommentSubject">
    <w:name w:val="annotation subject"/>
    <w:basedOn w:val="CommentText"/>
    <w:next w:val="CommentText"/>
    <w:link w:val="CommentSubjectChar"/>
    <w:rsid w:val="00E16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6987"/>
    <w:rPr>
      <w:b/>
      <w:bCs/>
    </w:rPr>
  </w:style>
  <w:style w:type="character" w:styleId="Hyperlink">
    <w:name w:val="Hyperlink"/>
    <w:basedOn w:val="DefaultParagraphFont"/>
    <w:rsid w:val="007C4A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85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4303</Characters>
  <Application>Microsoft Office Word</Application>
  <DocSecurity>4</DocSecurity>
  <Lines>87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HB03270 (Committee Report (Unamended))</vt:lpstr>
    </vt:vector>
  </TitlesOfParts>
  <Company>State of Texas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25993</dc:subject>
  <dc:creator>State of Texas</dc:creator>
  <dc:description>HB 3270 by Bohac-(H)Public Education</dc:description>
  <cp:lastModifiedBy>Molly Hoffman-Bricker</cp:lastModifiedBy>
  <cp:revision>2</cp:revision>
  <cp:lastPrinted>2017-04-25T19:56:00Z</cp:lastPrinted>
  <dcterms:created xsi:type="dcterms:W3CDTF">2017-05-05T21:27:00Z</dcterms:created>
  <dcterms:modified xsi:type="dcterms:W3CDTF">2017-05-05T21:27:00Z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17.115.4</vt:lpwstr>
  </property>
</Properties>
</file>