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71517" w:rsidTr="00345119">
        <w:tc>
          <w:tcPr>
            <w:tcW w:w="9576" w:type="dxa"/>
            <w:noWrap/>
          </w:tcPr>
          <w:p w:rsidR="008423E4" w:rsidRPr="0022177D" w:rsidRDefault="0023787D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23787D" w:rsidP="008423E4">
      <w:pPr>
        <w:jc w:val="center"/>
      </w:pPr>
    </w:p>
    <w:p w:rsidR="008423E4" w:rsidRPr="00B31F0E" w:rsidRDefault="0023787D" w:rsidP="008423E4"/>
    <w:p w:rsidR="008423E4" w:rsidRPr="00742794" w:rsidRDefault="0023787D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71517" w:rsidTr="00345119">
        <w:tc>
          <w:tcPr>
            <w:tcW w:w="9576" w:type="dxa"/>
          </w:tcPr>
          <w:p w:rsidR="008423E4" w:rsidRPr="00861995" w:rsidRDefault="0023787D" w:rsidP="00345119">
            <w:pPr>
              <w:jc w:val="right"/>
            </w:pPr>
            <w:r>
              <w:t>H.B. 2994</w:t>
            </w:r>
          </w:p>
        </w:tc>
      </w:tr>
      <w:tr w:rsidR="00271517" w:rsidTr="00345119">
        <w:tc>
          <w:tcPr>
            <w:tcW w:w="9576" w:type="dxa"/>
          </w:tcPr>
          <w:p w:rsidR="008423E4" w:rsidRPr="00861995" w:rsidRDefault="0023787D" w:rsidP="00D15CEE">
            <w:pPr>
              <w:jc w:val="right"/>
            </w:pPr>
            <w:r>
              <w:t xml:space="preserve">By: </w:t>
            </w:r>
            <w:r>
              <w:t>Ashby</w:t>
            </w:r>
          </w:p>
        </w:tc>
      </w:tr>
      <w:tr w:rsidR="00271517" w:rsidTr="00345119">
        <w:tc>
          <w:tcPr>
            <w:tcW w:w="9576" w:type="dxa"/>
          </w:tcPr>
          <w:p w:rsidR="008423E4" w:rsidRPr="00861995" w:rsidRDefault="0023787D" w:rsidP="00345119">
            <w:pPr>
              <w:jc w:val="right"/>
            </w:pPr>
            <w:r>
              <w:t>Higher Education</w:t>
            </w:r>
          </w:p>
        </w:tc>
      </w:tr>
      <w:tr w:rsidR="00271517" w:rsidTr="00345119">
        <w:tc>
          <w:tcPr>
            <w:tcW w:w="9576" w:type="dxa"/>
          </w:tcPr>
          <w:p w:rsidR="008423E4" w:rsidRDefault="0023787D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23787D" w:rsidP="008423E4">
      <w:pPr>
        <w:tabs>
          <w:tab w:val="right" w:pos="9360"/>
        </w:tabs>
      </w:pPr>
    </w:p>
    <w:p w:rsidR="008423E4" w:rsidRDefault="0023787D" w:rsidP="008423E4"/>
    <w:p w:rsidR="008423E4" w:rsidRDefault="0023787D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271517" w:rsidTr="00345119">
        <w:tc>
          <w:tcPr>
            <w:tcW w:w="9576" w:type="dxa"/>
          </w:tcPr>
          <w:p w:rsidR="008423E4" w:rsidRPr="00A8133F" w:rsidRDefault="0023787D" w:rsidP="00D126D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23787D" w:rsidP="00D126D9"/>
          <w:p w:rsidR="008423E4" w:rsidRDefault="0023787D" w:rsidP="00D126D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</w:t>
            </w:r>
            <w:r>
              <w:t xml:space="preserve">nterested parties contend that certain </w:t>
            </w:r>
            <w:r>
              <w:t xml:space="preserve">legislative </w:t>
            </w:r>
            <w:r>
              <w:t xml:space="preserve">direction is </w:t>
            </w:r>
            <w:r>
              <w:t xml:space="preserve">insufficient </w:t>
            </w:r>
            <w:r>
              <w:t xml:space="preserve">as it pertains to workforce continuing education courses </w:t>
            </w:r>
            <w:r>
              <w:t xml:space="preserve">offered at public junior colleges </w:t>
            </w:r>
            <w:r>
              <w:t>and with regard to how</w:t>
            </w:r>
            <w:r>
              <w:t xml:space="preserve"> the Texas Higher Education Coordinating Board should treat minors enrolled in these courses for the reimbursement of contact hours. H.B. 2994 seeks to provide </w:t>
            </w:r>
            <w:r>
              <w:t xml:space="preserve">further direction </w:t>
            </w:r>
            <w:r>
              <w:t xml:space="preserve">with regard to </w:t>
            </w:r>
            <w:r>
              <w:t>workfor</w:t>
            </w:r>
            <w:r>
              <w:t xml:space="preserve">ce continuing education </w:t>
            </w:r>
            <w:r>
              <w:t>offered by public junior colleges</w:t>
            </w:r>
            <w:r>
              <w:t xml:space="preserve">. </w:t>
            </w:r>
          </w:p>
          <w:p w:rsidR="008423E4" w:rsidRPr="00E26B13" w:rsidRDefault="0023787D" w:rsidP="00D126D9">
            <w:pPr>
              <w:rPr>
                <w:b/>
              </w:rPr>
            </w:pPr>
          </w:p>
        </w:tc>
      </w:tr>
      <w:tr w:rsidR="00271517" w:rsidTr="00345119">
        <w:tc>
          <w:tcPr>
            <w:tcW w:w="9576" w:type="dxa"/>
          </w:tcPr>
          <w:p w:rsidR="0017725B" w:rsidRDefault="0023787D" w:rsidP="00D126D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23787D" w:rsidP="00D126D9">
            <w:pPr>
              <w:rPr>
                <w:b/>
                <w:u w:val="single"/>
              </w:rPr>
            </w:pPr>
          </w:p>
          <w:p w:rsidR="00187948" w:rsidRPr="00187948" w:rsidRDefault="0023787D" w:rsidP="00D126D9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</w:t>
            </w:r>
            <w:r>
              <w:t>es, or change the eligibility of a person for community supervision, parole, or mandatory supervision.</w:t>
            </w:r>
          </w:p>
          <w:p w:rsidR="0017725B" w:rsidRPr="0017725B" w:rsidRDefault="0023787D" w:rsidP="00D126D9">
            <w:pPr>
              <w:rPr>
                <w:b/>
                <w:u w:val="single"/>
              </w:rPr>
            </w:pPr>
          </w:p>
        </w:tc>
      </w:tr>
      <w:tr w:rsidR="00271517" w:rsidTr="00345119">
        <w:tc>
          <w:tcPr>
            <w:tcW w:w="9576" w:type="dxa"/>
          </w:tcPr>
          <w:p w:rsidR="008423E4" w:rsidRPr="00A8133F" w:rsidRDefault="0023787D" w:rsidP="00D126D9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23787D" w:rsidP="00D126D9"/>
          <w:p w:rsidR="00464C42" w:rsidRDefault="0023787D" w:rsidP="00D126D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rulemaking authority is expressly granted to the Texas Higher Education Coordinating Board in</w:t>
            </w:r>
            <w:r>
              <w:t xml:space="preserve"> SECTION 1 of this bill.</w:t>
            </w:r>
          </w:p>
          <w:p w:rsidR="008423E4" w:rsidRPr="00E21FDC" w:rsidRDefault="0023787D" w:rsidP="00D126D9">
            <w:pPr>
              <w:rPr>
                <w:b/>
              </w:rPr>
            </w:pPr>
          </w:p>
        </w:tc>
      </w:tr>
      <w:tr w:rsidR="00271517" w:rsidTr="00345119">
        <w:tc>
          <w:tcPr>
            <w:tcW w:w="9576" w:type="dxa"/>
          </w:tcPr>
          <w:p w:rsidR="008423E4" w:rsidRPr="00A8133F" w:rsidRDefault="0023787D" w:rsidP="00D126D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23787D" w:rsidP="00D126D9"/>
          <w:p w:rsidR="008423E4" w:rsidRDefault="0023787D" w:rsidP="00D126D9">
            <w:pPr>
              <w:pStyle w:val="Header"/>
              <w:jc w:val="both"/>
            </w:pPr>
            <w:r>
              <w:t>H.B. 2994 amends the Education Code to require contact</w:t>
            </w:r>
            <w:r>
              <w:t xml:space="preserve"> hours attributable to the enrollment of a student in a workforce continuing education course offered by a public junior college to be included in the contact hours used to determine the college's proportionate share of state money appropriated and distrib</w:t>
            </w:r>
            <w:r>
              <w:t xml:space="preserve">uted to public junior colleges, regardless of whether the course is taken by a student who is not an adult or </w:t>
            </w:r>
            <w:r>
              <w:t xml:space="preserve">whether </w:t>
            </w:r>
            <w:r>
              <w:t>the college waives all or part of the tuition or fees for the course.</w:t>
            </w:r>
            <w:r>
              <w:t xml:space="preserve"> The bill defines </w:t>
            </w:r>
            <w:r>
              <w:t xml:space="preserve">"adult" as a person who is 17 years of age and has </w:t>
            </w:r>
            <w:r>
              <w:t>been awarded a high school diploma or its equivalent or who is 18 years of age or older, regardless of the person's previous educational experience</w:t>
            </w:r>
            <w:r>
              <w:t>,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 xml:space="preserve">"workforce continuing education" as a program of instruction that is designed primarily for adults and </w:t>
            </w:r>
            <w:r>
              <w:t>is intended, on completion by a participant, to prepare the participant to qualify to apply for and accept an employment offer or a job upgrade within a specific occupational category or to bring the participant's knowledge or skills up to date on new deve</w:t>
            </w:r>
            <w:r>
              <w:t>lopments in a particular occupation or profession.</w:t>
            </w:r>
          </w:p>
          <w:p w:rsidR="0047111F" w:rsidRDefault="0023787D" w:rsidP="00D126D9">
            <w:pPr>
              <w:pStyle w:val="Header"/>
              <w:jc w:val="both"/>
            </w:pPr>
          </w:p>
          <w:p w:rsidR="00187948" w:rsidRDefault="0023787D" w:rsidP="00D126D9">
            <w:pPr>
              <w:pStyle w:val="Header"/>
              <w:jc w:val="both"/>
            </w:pPr>
            <w:r>
              <w:t>H.B. 2994 authorizes a</w:t>
            </w:r>
            <w:r w:rsidRPr="0047111F">
              <w:t xml:space="preserve"> public junior college </w:t>
            </w:r>
            <w:r>
              <w:t>to</w:t>
            </w:r>
            <w:r w:rsidRPr="0047111F">
              <w:t xml:space="preserve"> enter into an agreement with a </w:t>
            </w:r>
            <w:r>
              <w:t xml:space="preserve">public </w:t>
            </w:r>
            <w:r w:rsidRPr="0047111F">
              <w:t>school district, organization, or other person that operates a high school to offer workforce continuing education cou</w:t>
            </w:r>
            <w:r w:rsidRPr="0047111F">
              <w:t xml:space="preserve">rses to persons enrolled in a high school who are at least 16 years of age on the census date of the applicable course. </w:t>
            </w:r>
            <w:r>
              <w:t xml:space="preserve">The bill authorizes a public junior college to waive all or part of the tuition or fees charged to a student for a workforce continuing </w:t>
            </w:r>
            <w:r>
              <w:t xml:space="preserve">education course under the following </w:t>
            </w:r>
            <w:r>
              <w:t>circumstances</w:t>
            </w:r>
            <w:r>
              <w:t>:</w:t>
            </w:r>
          </w:p>
          <w:p w:rsidR="0047111F" w:rsidRDefault="0023787D" w:rsidP="00D126D9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>if</w:t>
            </w:r>
            <w:r>
              <w:t xml:space="preserve"> </w:t>
            </w:r>
            <w:r>
              <w:t>the student</w:t>
            </w:r>
            <w:r>
              <w:t xml:space="preserve"> </w:t>
            </w:r>
            <w:r>
              <w:t>is enrolled in high school</w:t>
            </w:r>
            <w:r>
              <w:t xml:space="preserve">; </w:t>
            </w:r>
            <w:r>
              <w:t>is 16 years of age or older, has had the disabilities of minority removed, and is not enrolled in secondary education; or</w:t>
            </w:r>
            <w:r>
              <w:t xml:space="preserve"> </w:t>
            </w:r>
            <w:r>
              <w:t>is under the age of 18 and is incarcera</w:t>
            </w:r>
            <w:r>
              <w:t>ted</w:t>
            </w:r>
            <w:r>
              <w:t>;</w:t>
            </w:r>
          </w:p>
          <w:p w:rsidR="00187948" w:rsidRDefault="0023787D" w:rsidP="00D126D9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 xml:space="preserve">if </w:t>
            </w:r>
            <w:r w:rsidRPr="00187948">
              <w:t xml:space="preserve">all or a significant portion of the college's costs for facilities, instructor salaries, </w:t>
            </w:r>
            <w:r w:rsidRPr="00187948">
              <w:lastRenderedPageBreak/>
              <w:t>equipment, and other expenses for the course are covered by business, industry, or other local public or private entities; or</w:t>
            </w:r>
          </w:p>
          <w:p w:rsidR="00187948" w:rsidRDefault="0023787D" w:rsidP="00D126D9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 xml:space="preserve">if </w:t>
            </w:r>
            <w:r w:rsidRPr="00187948">
              <w:t>the course is taught in a fede</w:t>
            </w:r>
            <w:r w:rsidRPr="00187948">
              <w:t>ral correctional facility and the facilities, equipment, supplies, and other expenses for the course are funded by the federal government.</w:t>
            </w:r>
          </w:p>
          <w:p w:rsidR="00187948" w:rsidRDefault="0023787D" w:rsidP="00D126D9">
            <w:pPr>
              <w:pStyle w:val="Header"/>
              <w:jc w:val="both"/>
            </w:pPr>
            <w:r>
              <w:t xml:space="preserve">The bill establishes that </w:t>
            </w:r>
            <w:r w:rsidRPr="0047111F">
              <w:t>a person who is enrolled in a school that is not formally organized as a high school is con</w:t>
            </w:r>
            <w:r w:rsidRPr="0047111F">
              <w:t>sidered to be enrolled in high school</w:t>
            </w:r>
            <w:r>
              <w:t xml:space="preserve"> for purposes of these provisions</w:t>
            </w:r>
            <w:r w:rsidRPr="0047111F">
              <w:t>.</w:t>
            </w:r>
            <w:r>
              <w:t xml:space="preserve"> The bill requires the Texas Higher Education Coordinating Board to </w:t>
            </w:r>
            <w:r w:rsidRPr="00187948">
              <w:t xml:space="preserve">adopt any rules the coordinating board considers necessary for the administration of </w:t>
            </w:r>
            <w:r>
              <w:t>the bill's provisions and</w:t>
            </w:r>
            <w:r>
              <w:t>,</w:t>
            </w:r>
            <w:r>
              <w:t xml:space="preserve"> i</w:t>
            </w:r>
            <w:r w:rsidRPr="00187948">
              <w:t>n ad</w:t>
            </w:r>
            <w:r w:rsidRPr="00187948">
              <w:t xml:space="preserve">opting those rules, </w:t>
            </w:r>
            <w:r>
              <w:t xml:space="preserve">to </w:t>
            </w:r>
            <w:r w:rsidRPr="00187948">
              <w:t xml:space="preserve">use </w:t>
            </w:r>
            <w:r>
              <w:t>the procedures established by the Negotiated Rulemaking Act</w:t>
            </w:r>
            <w:r w:rsidRPr="00187948">
              <w:t>.</w:t>
            </w:r>
          </w:p>
          <w:p w:rsidR="008423E4" w:rsidRPr="00835628" w:rsidRDefault="0023787D" w:rsidP="00D126D9">
            <w:pPr>
              <w:rPr>
                <w:b/>
              </w:rPr>
            </w:pPr>
          </w:p>
        </w:tc>
      </w:tr>
      <w:tr w:rsidR="00271517" w:rsidTr="00345119">
        <w:tc>
          <w:tcPr>
            <w:tcW w:w="9576" w:type="dxa"/>
          </w:tcPr>
          <w:p w:rsidR="008423E4" w:rsidRPr="00A8133F" w:rsidRDefault="0023787D" w:rsidP="00D126D9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23787D" w:rsidP="00D126D9"/>
          <w:p w:rsidR="008423E4" w:rsidRPr="003624F2" w:rsidRDefault="0023787D" w:rsidP="00D126D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23787D" w:rsidP="00D126D9">
            <w:pPr>
              <w:rPr>
                <w:b/>
              </w:rPr>
            </w:pPr>
          </w:p>
        </w:tc>
      </w:tr>
    </w:tbl>
    <w:p w:rsidR="008423E4" w:rsidRPr="00BE0E75" w:rsidRDefault="0023787D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23787D" w:rsidP="008423E4"/>
    <w:sectPr w:rsidR="004108C3" w:rsidRPr="008423E4" w:rsidSect="006D504F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787D">
      <w:r>
        <w:separator/>
      </w:r>
    </w:p>
  </w:endnote>
  <w:endnote w:type="continuationSeparator" w:id="0">
    <w:p w:rsidR="00000000" w:rsidRDefault="0023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71517" w:rsidTr="009C1E9A">
      <w:trPr>
        <w:cantSplit/>
      </w:trPr>
      <w:tc>
        <w:tcPr>
          <w:tcW w:w="0" w:type="pct"/>
        </w:tcPr>
        <w:p w:rsidR="00137D90" w:rsidRDefault="0023787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23787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23787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23787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23787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71517" w:rsidTr="009C1E9A">
      <w:trPr>
        <w:cantSplit/>
      </w:trPr>
      <w:tc>
        <w:tcPr>
          <w:tcW w:w="0" w:type="pct"/>
        </w:tcPr>
        <w:p w:rsidR="00EC379B" w:rsidRDefault="0023787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23787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19503</w:t>
          </w:r>
        </w:p>
      </w:tc>
      <w:tc>
        <w:tcPr>
          <w:tcW w:w="2453" w:type="pct"/>
        </w:tcPr>
        <w:p w:rsidR="00EC379B" w:rsidRDefault="0023787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17.84.110</w:t>
          </w:r>
          <w:r>
            <w:fldChar w:fldCharType="end"/>
          </w:r>
        </w:p>
      </w:tc>
    </w:tr>
    <w:tr w:rsidR="00271517" w:rsidTr="009C1E9A">
      <w:trPr>
        <w:cantSplit/>
      </w:trPr>
      <w:tc>
        <w:tcPr>
          <w:tcW w:w="0" w:type="pct"/>
        </w:tcPr>
        <w:p w:rsidR="00EC379B" w:rsidRDefault="0023787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23787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23787D" w:rsidP="006D504F">
          <w:pPr>
            <w:pStyle w:val="Footer"/>
            <w:rPr>
              <w:rStyle w:val="PageNumber"/>
            </w:rPr>
          </w:pPr>
        </w:p>
        <w:p w:rsidR="00EC379B" w:rsidRDefault="0023787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7151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23787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23787D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23787D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787D">
      <w:r>
        <w:separator/>
      </w:r>
    </w:p>
  </w:footnote>
  <w:footnote w:type="continuationSeparator" w:id="0">
    <w:p w:rsidR="00000000" w:rsidRDefault="00237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13549"/>
    <w:multiLevelType w:val="hybridMultilevel"/>
    <w:tmpl w:val="DE589710"/>
    <w:lvl w:ilvl="0" w:tplc="D7FA1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9AB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E68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61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EE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100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26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83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80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17"/>
    <w:rsid w:val="0023787D"/>
    <w:rsid w:val="0027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471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1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111F"/>
  </w:style>
  <w:style w:type="paragraph" w:styleId="CommentSubject">
    <w:name w:val="annotation subject"/>
    <w:basedOn w:val="CommentText"/>
    <w:next w:val="CommentText"/>
    <w:link w:val="CommentSubjectChar"/>
    <w:rsid w:val="00471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1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471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1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111F"/>
  </w:style>
  <w:style w:type="paragraph" w:styleId="CommentSubject">
    <w:name w:val="annotation subject"/>
    <w:basedOn w:val="CommentText"/>
    <w:next w:val="CommentText"/>
    <w:link w:val="CommentSubjectChar"/>
    <w:rsid w:val="00471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1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3166</Characters>
  <Application>Microsoft Office Word</Application>
  <DocSecurity>4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HB02994 (Committee Report (Unamended))</vt:lpstr>
    </vt:vector>
  </TitlesOfParts>
  <Company>State of Texas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19503</dc:subject>
  <dc:creator>State of Texas</dc:creator>
  <dc:description>HB 2994 by Ashby-(H)Higher Education</dc:description>
  <cp:lastModifiedBy>Molly Hoffman-Bricker</cp:lastModifiedBy>
  <cp:revision>2</cp:revision>
  <cp:lastPrinted>2017-03-26T17:48:00Z</cp:lastPrinted>
  <dcterms:created xsi:type="dcterms:W3CDTF">2017-04-12T20:50:00Z</dcterms:created>
  <dcterms:modified xsi:type="dcterms:W3CDTF">2017-04-12T20:50:00Z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17.84.110</vt:lpwstr>
  </property>
</Properties>
</file>