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485530" w:rsidTr="00345119">
        <w:tc>
          <w:tcPr>
            <w:tcW w:w="9576" w:type="dxa"/>
            <w:noWrap/>
          </w:tcPr>
          <w:p w:rsidR="008423E4" w:rsidRPr="0022177D" w:rsidRDefault="001C7B29" w:rsidP="00345119">
            <w:pPr>
              <w:pStyle w:val="Heading1"/>
            </w:pPr>
            <w:bookmarkStart w:id="0" w:name="_GoBack"/>
            <w:bookmarkEnd w:id="0"/>
            <w:r w:rsidRPr="00631897">
              <w:t>BILL ANALYSIS</w:t>
            </w:r>
          </w:p>
        </w:tc>
      </w:tr>
    </w:tbl>
    <w:p w:rsidR="008423E4" w:rsidRPr="0022177D" w:rsidRDefault="001C7B29" w:rsidP="008423E4">
      <w:pPr>
        <w:jc w:val="center"/>
      </w:pPr>
    </w:p>
    <w:p w:rsidR="008423E4" w:rsidRPr="00B31F0E" w:rsidRDefault="001C7B29" w:rsidP="008423E4"/>
    <w:p w:rsidR="008423E4" w:rsidRPr="00742794" w:rsidRDefault="001C7B29" w:rsidP="008423E4">
      <w:pPr>
        <w:tabs>
          <w:tab w:val="right" w:pos="9360"/>
        </w:tabs>
      </w:pPr>
    </w:p>
    <w:tbl>
      <w:tblPr>
        <w:tblW w:w="0" w:type="auto"/>
        <w:tblLayout w:type="fixed"/>
        <w:tblLook w:val="01E0" w:firstRow="1" w:lastRow="1" w:firstColumn="1" w:lastColumn="1" w:noHBand="0" w:noVBand="0"/>
      </w:tblPr>
      <w:tblGrid>
        <w:gridCol w:w="9576"/>
      </w:tblGrid>
      <w:tr w:rsidR="00485530" w:rsidTr="00345119">
        <w:tc>
          <w:tcPr>
            <w:tcW w:w="9576" w:type="dxa"/>
          </w:tcPr>
          <w:p w:rsidR="008423E4" w:rsidRPr="00861995" w:rsidRDefault="001C7B29" w:rsidP="00345119">
            <w:pPr>
              <w:jc w:val="right"/>
            </w:pPr>
            <w:r>
              <w:t>C.S.H.B. 2445</w:t>
            </w:r>
          </w:p>
        </w:tc>
      </w:tr>
      <w:tr w:rsidR="00485530" w:rsidTr="00345119">
        <w:tc>
          <w:tcPr>
            <w:tcW w:w="9576" w:type="dxa"/>
          </w:tcPr>
          <w:p w:rsidR="008423E4" w:rsidRPr="00861995" w:rsidRDefault="001C7B29" w:rsidP="00E73F1D">
            <w:pPr>
              <w:jc w:val="right"/>
            </w:pPr>
            <w:r>
              <w:t xml:space="preserve">By: </w:t>
            </w:r>
            <w:r>
              <w:t>Stucky</w:t>
            </w:r>
          </w:p>
        </w:tc>
      </w:tr>
      <w:tr w:rsidR="00485530" w:rsidTr="00345119">
        <w:tc>
          <w:tcPr>
            <w:tcW w:w="9576" w:type="dxa"/>
          </w:tcPr>
          <w:p w:rsidR="008423E4" w:rsidRPr="00861995" w:rsidRDefault="001C7B29" w:rsidP="00345119">
            <w:pPr>
              <w:jc w:val="right"/>
            </w:pPr>
            <w:r>
              <w:t>Ways &amp; Means</w:t>
            </w:r>
          </w:p>
        </w:tc>
      </w:tr>
      <w:tr w:rsidR="00485530" w:rsidTr="00345119">
        <w:tc>
          <w:tcPr>
            <w:tcW w:w="9576" w:type="dxa"/>
          </w:tcPr>
          <w:p w:rsidR="008423E4" w:rsidRDefault="001C7B29" w:rsidP="00345119">
            <w:pPr>
              <w:jc w:val="right"/>
            </w:pPr>
            <w:r>
              <w:t>Committee Report (Substituted)</w:t>
            </w:r>
          </w:p>
        </w:tc>
      </w:tr>
    </w:tbl>
    <w:p w:rsidR="008423E4" w:rsidRDefault="001C7B29" w:rsidP="008423E4">
      <w:pPr>
        <w:tabs>
          <w:tab w:val="right" w:pos="9360"/>
        </w:tabs>
      </w:pPr>
    </w:p>
    <w:p w:rsidR="008423E4" w:rsidRDefault="001C7B29" w:rsidP="008423E4"/>
    <w:p w:rsidR="008423E4" w:rsidRDefault="001C7B29" w:rsidP="008423E4"/>
    <w:tbl>
      <w:tblPr>
        <w:tblW w:w="0" w:type="auto"/>
        <w:tblCellMar>
          <w:left w:w="115" w:type="dxa"/>
          <w:right w:w="115" w:type="dxa"/>
        </w:tblCellMar>
        <w:tblLook w:val="01E0" w:firstRow="1" w:lastRow="1" w:firstColumn="1" w:lastColumn="1" w:noHBand="0" w:noVBand="0"/>
      </w:tblPr>
      <w:tblGrid>
        <w:gridCol w:w="9590"/>
      </w:tblGrid>
      <w:tr w:rsidR="00485530" w:rsidTr="00E73F1D">
        <w:tc>
          <w:tcPr>
            <w:tcW w:w="9582" w:type="dxa"/>
          </w:tcPr>
          <w:p w:rsidR="008423E4" w:rsidRPr="00A8133F" w:rsidRDefault="001C7B29" w:rsidP="002F7803">
            <w:pPr>
              <w:rPr>
                <w:b/>
              </w:rPr>
            </w:pPr>
            <w:r w:rsidRPr="009C1E9A">
              <w:rPr>
                <w:b/>
                <w:u w:val="single"/>
              </w:rPr>
              <w:t>BACKGROUND AND PURPOSE</w:t>
            </w:r>
            <w:r>
              <w:rPr>
                <w:b/>
              </w:rPr>
              <w:t xml:space="preserve"> </w:t>
            </w:r>
          </w:p>
          <w:p w:rsidR="008423E4" w:rsidRDefault="001C7B29" w:rsidP="002F7803"/>
          <w:p w:rsidR="008423E4" w:rsidRDefault="001C7B29" w:rsidP="002F7803">
            <w:pPr>
              <w:pStyle w:val="Header"/>
              <w:tabs>
                <w:tab w:val="clear" w:pos="4320"/>
                <w:tab w:val="clear" w:pos="8640"/>
              </w:tabs>
              <w:jc w:val="both"/>
            </w:pPr>
            <w:r>
              <w:t>Interested</w:t>
            </w:r>
            <w:r>
              <w:t xml:space="preserve"> parties assert that upgrading </w:t>
            </w:r>
            <w:r>
              <w:t xml:space="preserve">existing </w:t>
            </w:r>
            <w:r>
              <w:t xml:space="preserve">sports </w:t>
            </w:r>
            <w:r>
              <w:t xml:space="preserve">facilities or </w:t>
            </w:r>
            <w:r>
              <w:t xml:space="preserve">fields will attract more visitors for recreational tournaments </w:t>
            </w:r>
            <w:r>
              <w:t xml:space="preserve">and </w:t>
            </w:r>
            <w:r>
              <w:t>generat</w:t>
            </w:r>
            <w:r>
              <w:t>e</w:t>
            </w:r>
            <w:r>
              <w:t xml:space="preserve"> new money for state and local treasuries. The purpose of </w:t>
            </w:r>
            <w:r>
              <w:t>C.S.</w:t>
            </w:r>
            <w:r>
              <w:t>H</w:t>
            </w:r>
            <w:r>
              <w:t>.</w:t>
            </w:r>
            <w:r>
              <w:t>B</w:t>
            </w:r>
            <w:r>
              <w:t>.</w:t>
            </w:r>
            <w:r>
              <w:t xml:space="preserve"> 2445 is to authorize </w:t>
            </w:r>
            <w:r>
              <w:t xml:space="preserve">certain municipalities, such as </w:t>
            </w:r>
            <w:r>
              <w:t>the City of Denton</w:t>
            </w:r>
            <w:r>
              <w:t>,</w:t>
            </w:r>
            <w:r>
              <w:t xml:space="preserve"> to use </w:t>
            </w:r>
            <w:r>
              <w:t xml:space="preserve">municipal </w:t>
            </w:r>
            <w:r>
              <w:t xml:space="preserve">hotel occupancy tax </w:t>
            </w:r>
            <w:r>
              <w:t xml:space="preserve">revenue </w:t>
            </w:r>
            <w:r>
              <w:t xml:space="preserve">for the enhancement and upgrading of </w:t>
            </w:r>
            <w:r>
              <w:t xml:space="preserve">existing </w:t>
            </w:r>
            <w:r>
              <w:t>sports facili</w:t>
            </w:r>
            <w:r>
              <w:t>ties or fields.</w:t>
            </w:r>
          </w:p>
          <w:p w:rsidR="008423E4" w:rsidRPr="00E26B13" w:rsidRDefault="001C7B29" w:rsidP="002F7803">
            <w:pPr>
              <w:rPr>
                <w:b/>
              </w:rPr>
            </w:pPr>
          </w:p>
        </w:tc>
      </w:tr>
      <w:tr w:rsidR="00485530" w:rsidTr="00E73F1D">
        <w:tc>
          <w:tcPr>
            <w:tcW w:w="9582" w:type="dxa"/>
          </w:tcPr>
          <w:p w:rsidR="0017725B" w:rsidRDefault="001C7B29" w:rsidP="002F7803">
            <w:pPr>
              <w:rPr>
                <w:b/>
                <w:u w:val="single"/>
              </w:rPr>
            </w:pPr>
            <w:r>
              <w:rPr>
                <w:b/>
                <w:u w:val="single"/>
              </w:rPr>
              <w:t>CRIMINAL JUSTICE IMPACT</w:t>
            </w:r>
          </w:p>
          <w:p w:rsidR="0017725B" w:rsidRDefault="001C7B29" w:rsidP="002F7803">
            <w:pPr>
              <w:rPr>
                <w:b/>
                <w:u w:val="single"/>
              </w:rPr>
            </w:pPr>
          </w:p>
          <w:p w:rsidR="00552DC2" w:rsidRPr="00552DC2" w:rsidRDefault="001C7B29" w:rsidP="002F7803">
            <w:pPr>
              <w:jc w:val="both"/>
            </w:pPr>
            <w:r>
              <w:t>It is the committee's opinion that this bill does not expressly create a criminal offense, increase the punishment for an existing criminal offense or category of offenses, or change the eligibility of a person fo</w:t>
            </w:r>
            <w:r>
              <w:t>r community supervision, parole, or mandatory supervision.</w:t>
            </w:r>
          </w:p>
          <w:p w:rsidR="0017725B" w:rsidRPr="0017725B" w:rsidRDefault="001C7B29" w:rsidP="002F7803">
            <w:pPr>
              <w:rPr>
                <w:b/>
                <w:u w:val="single"/>
              </w:rPr>
            </w:pPr>
          </w:p>
        </w:tc>
      </w:tr>
      <w:tr w:rsidR="00485530" w:rsidTr="00E73F1D">
        <w:tc>
          <w:tcPr>
            <w:tcW w:w="9582" w:type="dxa"/>
          </w:tcPr>
          <w:p w:rsidR="008423E4" w:rsidRPr="00A8133F" w:rsidRDefault="001C7B29" w:rsidP="002F7803">
            <w:pPr>
              <w:rPr>
                <w:b/>
              </w:rPr>
            </w:pPr>
            <w:r w:rsidRPr="009C1E9A">
              <w:rPr>
                <w:b/>
                <w:u w:val="single"/>
              </w:rPr>
              <w:t>RULEMAKING AUTHORITY</w:t>
            </w:r>
            <w:r>
              <w:rPr>
                <w:b/>
              </w:rPr>
              <w:t xml:space="preserve"> </w:t>
            </w:r>
          </w:p>
          <w:p w:rsidR="008423E4" w:rsidRDefault="001C7B29" w:rsidP="002F7803"/>
          <w:p w:rsidR="00552DC2" w:rsidRDefault="001C7B29" w:rsidP="002F7803">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1C7B29" w:rsidP="002F7803">
            <w:pPr>
              <w:rPr>
                <w:b/>
              </w:rPr>
            </w:pPr>
          </w:p>
        </w:tc>
      </w:tr>
      <w:tr w:rsidR="00485530" w:rsidTr="00E73F1D">
        <w:tc>
          <w:tcPr>
            <w:tcW w:w="9582" w:type="dxa"/>
          </w:tcPr>
          <w:p w:rsidR="008423E4" w:rsidRPr="00A8133F" w:rsidRDefault="001C7B29" w:rsidP="002F7803">
            <w:pPr>
              <w:rPr>
                <w:b/>
              </w:rPr>
            </w:pPr>
            <w:r w:rsidRPr="009C1E9A">
              <w:rPr>
                <w:b/>
                <w:u w:val="single"/>
              </w:rPr>
              <w:t>ANALYSIS</w:t>
            </w:r>
            <w:r>
              <w:rPr>
                <w:b/>
              </w:rPr>
              <w:t xml:space="preserve"> </w:t>
            </w:r>
          </w:p>
          <w:p w:rsidR="008423E4" w:rsidRDefault="001C7B29" w:rsidP="002F7803"/>
          <w:p w:rsidR="008423E4" w:rsidRDefault="001C7B29" w:rsidP="002F7803">
            <w:pPr>
              <w:pStyle w:val="Header"/>
              <w:tabs>
                <w:tab w:val="clear" w:pos="4320"/>
                <w:tab w:val="clear" w:pos="8640"/>
              </w:tabs>
              <w:jc w:val="both"/>
            </w:pPr>
            <w:r>
              <w:t>C.S.</w:t>
            </w:r>
            <w:r>
              <w:t xml:space="preserve">H.B. 2445 </w:t>
            </w:r>
            <w:r>
              <w:t>amends the Tax Code to</w:t>
            </w:r>
            <w:r>
              <w:t xml:space="preserve"> </w:t>
            </w:r>
            <w:r>
              <w:t xml:space="preserve">authorize </w:t>
            </w:r>
            <w:r>
              <w:t xml:space="preserve">a municipality containing an intersection of Interstates 35E and 35W and at least two public universities to </w:t>
            </w:r>
            <w:r w:rsidRPr="00552DC2">
              <w:t>use revenue from the municipal hotel occupancy tax for the promotion of tourism by the enhancemen</w:t>
            </w:r>
            <w:r w:rsidRPr="00552DC2">
              <w:t>t and upgrading of existing sports facilit</w:t>
            </w:r>
            <w:r>
              <w:t>ies</w:t>
            </w:r>
            <w:r w:rsidRPr="00552DC2">
              <w:t xml:space="preserve"> or field</w:t>
            </w:r>
            <w:r>
              <w:t>s</w:t>
            </w:r>
            <w:r>
              <w:t xml:space="preserve">, </w:t>
            </w:r>
            <w:r>
              <w:t>provided</w:t>
            </w:r>
            <w:r>
              <w:t xml:space="preserve"> certain </w:t>
            </w:r>
            <w:r>
              <w:t xml:space="preserve">other </w:t>
            </w:r>
            <w:r>
              <w:t>conditions</w:t>
            </w:r>
            <w:r>
              <w:t xml:space="preserve"> are met</w:t>
            </w:r>
            <w:r>
              <w:t>.</w:t>
            </w:r>
          </w:p>
          <w:p w:rsidR="008423E4" w:rsidRPr="00835628" w:rsidRDefault="001C7B29" w:rsidP="002F7803">
            <w:pPr>
              <w:rPr>
                <w:b/>
              </w:rPr>
            </w:pPr>
          </w:p>
        </w:tc>
      </w:tr>
      <w:tr w:rsidR="00485530" w:rsidTr="00E73F1D">
        <w:tc>
          <w:tcPr>
            <w:tcW w:w="9582" w:type="dxa"/>
          </w:tcPr>
          <w:p w:rsidR="008423E4" w:rsidRPr="00A8133F" w:rsidRDefault="001C7B29" w:rsidP="002F7803">
            <w:pPr>
              <w:rPr>
                <w:b/>
              </w:rPr>
            </w:pPr>
            <w:r w:rsidRPr="009C1E9A">
              <w:rPr>
                <w:b/>
                <w:u w:val="single"/>
              </w:rPr>
              <w:t>EFFECTIVE DATE</w:t>
            </w:r>
            <w:r>
              <w:rPr>
                <w:b/>
              </w:rPr>
              <w:t xml:space="preserve"> </w:t>
            </w:r>
          </w:p>
          <w:p w:rsidR="008423E4" w:rsidRDefault="001C7B29" w:rsidP="002F7803"/>
          <w:p w:rsidR="008423E4" w:rsidRPr="003624F2" w:rsidRDefault="001C7B29" w:rsidP="002F7803">
            <w:pPr>
              <w:pStyle w:val="Header"/>
              <w:tabs>
                <w:tab w:val="clear" w:pos="4320"/>
                <w:tab w:val="clear" w:pos="8640"/>
              </w:tabs>
              <w:jc w:val="both"/>
            </w:pPr>
            <w:r>
              <w:t>On passage, or, if the bill does not receive the necessary vote, September 1, 2017.</w:t>
            </w:r>
          </w:p>
          <w:p w:rsidR="008423E4" w:rsidRPr="00233FDB" w:rsidRDefault="001C7B29" w:rsidP="002F7803">
            <w:pPr>
              <w:rPr>
                <w:b/>
              </w:rPr>
            </w:pPr>
          </w:p>
        </w:tc>
      </w:tr>
      <w:tr w:rsidR="00485530" w:rsidTr="00E73F1D">
        <w:tc>
          <w:tcPr>
            <w:tcW w:w="9582" w:type="dxa"/>
          </w:tcPr>
          <w:p w:rsidR="00E73F1D" w:rsidRDefault="001C7B29" w:rsidP="002F7803">
            <w:pPr>
              <w:jc w:val="both"/>
              <w:rPr>
                <w:b/>
                <w:u w:val="single"/>
              </w:rPr>
            </w:pPr>
            <w:r>
              <w:rPr>
                <w:b/>
                <w:u w:val="single"/>
              </w:rPr>
              <w:t>COMPARISON OF ORIGINAL AND SUBSTITUTE</w:t>
            </w:r>
          </w:p>
          <w:p w:rsidR="00813B1A" w:rsidRDefault="001C7B29" w:rsidP="002F7803">
            <w:pPr>
              <w:jc w:val="both"/>
            </w:pPr>
          </w:p>
          <w:p w:rsidR="00813B1A" w:rsidRDefault="001C7B29" w:rsidP="002F7803">
            <w:pPr>
              <w:jc w:val="both"/>
            </w:pPr>
            <w:r>
              <w:t>While C.S.H.</w:t>
            </w:r>
            <w:r>
              <w:t>B. 2445 may differ from the original in minor or nonsubstantive ways, the following comparison is organized and formatted in a manner that indicates the substantial differences between the introduced and committee substitute versions of the bill.</w:t>
            </w:r>
          </w:p>
          <w:p w:rsidR="00813B1A" w:rsidRPr="00813B1A" w:rsidRDefault="001C7B29" w:rsidP="002F7803">
            <w:pPr>
              <w:jc w:val="both"/>
            </w:pPr>
          </w:p>
        </w:tc>
      </w:tr>
      <w:tr w:rsidR="00485530" w:rsidTr="00E73F1D">
        <w:tc>
          <w:tcPr>
            <w:tcW w:w="9582" w:type="dxa"/>
          </w:tcPr>
          <w:tbl>
            <w:tblPr>
              <w:tblW w:w="9360" w:type="dxa"/>
              <w:tblInd w:w="6" w:type="dxa"/>
              <w:tblCellMar>
                <w:left w:w="10" w:type="dxa"/>
                <w:bottom w:w="288" w:type="dxa"/>
                <w:right w:w="10" w:type="dxa"/>
              </w:tblCellMar>
              <w:tblLook w:val="01E0" w:firstRow="1" w:lastRow="1" w:firstColumn="1" w:lastColumn="1" w:noHBand="0" w:noVBand="0"/>
            </w:tblPr>
            <w:tblGrid>
              <w:gridCol w:w="4680"/>
              <w:gridCol w:w="4680"/>
            </w:tblGrid>
            <w:tr w:rsidR="00485530" w:rsidTr="00187555">
              <w:trPr>
                <w:cantSplit/>
                <w:tblHeader/>
              </w:trPr>
              <w:tc>
                <w:tcPr>
                  <w:tcW w:w="4680" w:type="dxa"/>
                  <w:tcMar>
                    <w:bottom w:w="188" w:type="dxa"/>
                  </w:tcMar>
                </w:tcPr>
                <w:p w:rsidR="00E73F1D" w:rsidRDefault="001C7B29" w:rsidP="002F7803">
                  <w:pPr>
                    <w:jc w:val="center"/>
                  </w:pPr>
                  <w:r>
                    <w:t>INTRODU</w:t>
                  </w:r>
                  <w:r>
                    <w:t>CED</w:t>
                  </w:r>
                </w:p>
              </w:tc>
              <w:tc>
                <w:tcPr>
                  <w:tcW w:w="4680" w:type="dxa"/>
                  <w:tcMar>
                    <w:bottom w:w="188" w:type="dxa"/>
                  </w:tcMar>
                </w:tcPr>
                <w:p w:rsidR="00E73F1D" w:rsidRDefault="001C7B29" w:rsidP="002F7803">
                  <w:pPr>
                    <w:jc w:val="center"/>
                  </w:pPr>
                  <w:r>
                    <w:t>HOUSE COMMITTEE SUBSTITUTE</w:t>
                  </w:r>
                </w:p>
              </w:tc>
            </w:tr>
            <w:tr w:rsidR="00485530" w:rsidTr="00187555">
              <w:tc>
                <w:tcPr>
                  <w:tcW w:w="4680" w:type="dxa"/>
                  <w:tcMar>
                    <w:right w:w="360" w:type="dxa"/>
                  </w:tcMar>
                </w:tcPr>
                <w:p w:rsidR="00E73F1D" w:rsidRDefault="001C7B29" w:rsidP="002F7803">
                  <w:pPr>
                    <w:jc w:val="both"/>
                  </w:pPr>
                  <w:r>
                    <w:t>SECTION 1.</w:t>
                  </w:r>
                  <w:r>
                    <w:t xml:space="preserve"> </w:t>
                  </w:r>
                  <w:r>
                    <w:t>Section 351.101(k), Tax Code, is amended to read as follows:</w:t>
                  </w:r>
                </w:p>
                <w:p w:rsidR="00E73F1D" w:rsidRDefault="001C7B29" w:rsidP="002F7803">
                  <w:pPr>
                    <w:jc w:val="both"/>
                  </w:pPr>
                  <w:r>
                    <w:t>(k)</w:t>
                  </w:r>
                  <w:r>
                    <w:t xml:space="preserve"> </w:t>
                  </w:r>
                  <w:r>
                    <w:t>In addition to other authorized uses, a municipality [</w:t>
                  </w:r>
                  <w:r>
                    <w:rPr>
                      <w:strike/>
                    </w:rPr>
                    <w:t>that is intersected by both State Highways 71 and 95</w:t>
                  </w:r>
                  <w:r>
                    <w:t xml:space="preserve">] may use revenue from the municipal hotel occupancy tax for </w:t>
                  </w:r>
                  <w:r>
                    <w:lastRenderedPageBreak/>
                    <w:t>the promotion of tourism by the enhancement and upgrading of an existing sports facility or field as specified by Subsection (a)(7), provided that the requirements of Subsections (a)(7)(A) and (C</w:t>
                  </w:r>
                  <w:r>
                    <w:t>) are met</w:t>
                  </w:r>
                  <w:r>
                    <w:rPr>
                      <w:u w:val="single"/>
                    </w:rPr>
                    <w:t>, if the municipality:</w:t>
                  </w:r>
                </w:p>
                <w:p w:rsidR="00E73F1D" w:rsidRDefault="001C7B29" w:rsidP="002F7803">
                  <w:pPr>
                    <w:jc w:val="both"/>
                  </w:pPr>
                  <w:r>
                    <w:rPr>
                      <w:u w:val="single"/>
                    </w:rPr>
                    <w:t>(1)</w:t>
                  </w:r>
                  <w:r>
                    <w:rPr>
                      <w:u w:val="single"/>
                    </w:rPr>
                    <w:t xml:space="preserve"> </w:t>
                  </w:r>
                  <w:r>
                    <w:rPr>
                      <w:u w:val="single"/>
                    </w:rPr>
                    <w:t>is intersected by both State Highways 71 and 95; or</w:t>
                  </w:r>
                </w:p>
                <w:p w:rsidR="00E73F1D" w:rsidRDefault="001C7B29" w:rsidP="002F7803">
                  <w:pPr>
                    <w:jc w:val="both"/>
                  </w:pPr>
                  <w:r>
                    <w:rPr>
                      <w:u w:val="single"/>
                    </w:rPr>
                    <w:t>(2)</w:t>
                  </w:r>
                  <w:r>
                    <w:rPr>
                      <w:u w:val="single"/>
                    </w:rPr>
                    <w:t xml:space="preserve"> </w:t>
                  </w:r>
                  <w:r>
                    <w:rPr>
                      <w:u w:val="single"/>
                    </w:rPr>
                    <w:t>contains an intersection of Interstates 35E and 35W and at least two public universities</w:t>
                  </w:r>
                  <w:r>
                    <w:t>.</w:t>
                  </w:r>
                </w:p>
              </w:tc>
              <w:tc>
                <w:tcPr>
                  <w:tcW w:w="4680" w:type="dxa"/>
                  <w:tcMar>
                    <w:left w:w="360" w:type="dxa"/>
                  </w:tcMar>
                </w:tcPr>
                <w:p w:rsidR="00E73F1D" w:rsidRPr="00813B1A" w:rsidRDefault="001C7B29" w:rsidP="002F7803">
                  <w:pPr>
                    <w:jc w:val="both"/>
                    <w:rPr>
                      <w:highlight w:val="lightGray"/>
                    </w:rPr>
                  </w:pPr>
                  <w:r w:rsidRPr="00813B1A">
                    <w:rPr>
                      <w:highlight w:val="lightGray"/>
                    </w:rPr>
                    <w:lastRenderedPageBreak/>
                    <w:t>No equivalent provision.</w:t>
                  </w:r>
                  <w:r w:rsidRPr="00A16071">
                    <w:t xml:space="preserve"> </w:t>
                  </w:r>
                  <w:r w:rsidRPr="00A16071">
                    <w:rPr>
                      <w:i/>
                    </w:rPr>
                    <w:t>(But see SECTION 1 below.)</w:t>
                  </w:r>
                </w:p>
                <w:p w:rsidR="00E73F1D" w:rsidRDefault="001C7B29" w:rsidP="002F7803">
                  <w:pPr>
                    <w:jc w:val="both"/>
                  </w:pPr>
                </w:p>
              </w:tc>
            </w:tr>
            <w:tr w:rsidR="00485530" w:rsidTr="00187555">
              <w:tc>
                <w:tcPr>
                  <w:tcW w:w="4680" w:type="dxa"/>
                  <w:tcMar>
                    <w:right w:w="360" w:type="dxa"/>
                  </w:tcMar>
                </w:tcPr>
                <w:p w:rsidR="00E73F1D" w:rsidRDefault="001C7B29" w:rsidP="002F7803">
                  <w:pPr>
                    <w:jc w:val="both"/>
                  </w:pPr>
                  <w:r w:rsidRPr="00813B1A">
                    <w:rPr>
                      <w:highlight w:val="lightGray"/>
                    </w:rPr>
                    <w:lastRenderedPageBreak/>
                    <w:t>No equivalent provis</w:t>
                  </w:r>
                  <w:r w:rsidRPr="00813B1A">
                    <w:rPr>
                      <w:highlight w:val="lightGray"/>
                    </w:rPr>
                    <w:t>ion.</w:t>
                  </w:r>
                  <w:r w:rsidRPr="00A16071">
                    <w:rPr>
                      <w:i/>
                    </w:rPr>
                    <w:t xml:space="preserve"> (But see SECTION 1 </w:t>
                  </w:r>
                  <w:r>
                    <w:rPr>
                      <w:i/>
                    </w:rPr>
                    <w:t>above</w:t>
                  </w:r>
                  <w:r w:rsidRPr="00A16071">
                    <w:rPr>
                      <w:i/>
                    </w:rPr>
                    <w:t>.)</w:t>
                  </w:r>
                </w:p>
                <w:p w:rsidR="00E73F1D" w:rsidRDefault="001C7B29" w:rsidP="002F7803">
                  <w:pPr>
                    <w:jc w:val="both"/>
                  </w:pPr>
                </w:p>
              </w:tc>
              <w:tc>
                <w:tcPr>
                  <w:tcW w:w="4680" w:type="dxa"/>
                  <w:tcMar>
                    <w:left w:w="360" w:type="dxa"/>
                  </w:tcMar>
                </w:tcPr>
                <w:p w:rsidR="00E73F1D" w:rsidRDefault="001C7B29" w:rsidP="002F7803">
                  <w:pPr>
                    <w:jc w:val="both"/>
                  </w:pPr>
                  <w:r>
                    <w:t>SECTION 1.</w:t>
                  </w:r>
                  <w:r>
                    <w:t xml:space="preserve"> </w:t>
                  </w:r>
                  <w:r>
                    <w:t>Section 351.101(a), Tax Code, as amended by Chapters 666 (H.B. 3772) and 979 (H.B. 3615), Acts of the 84th Legislature, Regular Session, 2015, is reenacted and amended to read as follows:</w:t>
                  </w:r>
                </w:p>
                <w:p w:rsidR="00E73F1D" w:rsidRDefault="001C7B29" w:rsidP="002F7803">
                  <w:pPr>
                    <w:jc w:val="both"/>
                  </w:pPr>
                  <w:r>
                    <w:t>(a)</w:t>
                  </w:r>
                  <w:r>
                    <w:t xml:space="preserve"> </w:t>
                  </w:r>
                  <w:r>
                    <w:t>Revenue from the mun</w:t>
                  </w:r>
                  <w:r>
                    <w:t>icipal hotel occupancy tax may be used only to promote tourism and the convention and hotel industry, and that use is limited to the following:</w:t>
                  </w:r>
                </w:p>
                <w:p w:rsidR="00E73F1D" w:rsidRDefault="001C7B29" w:rsidP="002F7803">
                  <w:pPr>
                    <w:jc w:val="both"/>
                  </w:pPr>
                  <w:r>
                    <w:t>(1)</w:t>
                  </w:r>
                  <w:r>
                    <w:t xml:space="preserve"> </w:t>
                  </w:r>
                  <w:r>
                    <w:t xml:space="preserve">the acquisition of sites for and the construction, improvement, enlarging, equipping, repairing, operation, </w:t>
                  </w:r>
                  <w:r>
                    <w:t>and maintenance of convention center facilities or visitor information centers, or both;</w:t>
                  </w:r>
                </w:p>
                <w:p w:rsidR="00E73F1D" w:rsidRDefault="001C7B29" w:rsidP="002F7803">
                  <w:pPr>
                    <w:jc w:val="both"/>
                  </w:pPr>
                  <w:r>
                    <w:t>(2)</w:t>
                  </w:r>
                  <w:r>
                    <w:t xml:space="preserve"> </w:t>
                  </w:r>
                  <w:r>
                    <w:t>the furnishing of facilities, personnel, and materials for the registration of convention delegates or registrants;</w:t>
                  </w:r>
                </w:p>
                <w:p w:rsidR="00E73F1D" w:rsidRDefault="001C7B29" w:rsidP="002F7803">
                  <w:pPr>
                    <w:jc w:val="both"/>
                  </w:pPr>
                  <w:r>
                    <w:t>(3)</w:t>
                  </w:r>
                  <w:r>
                    <w:t xml:space="preserve"> </w:t>
                  </w:r>
                  <w:r>
                    <w:t>advertising and conducting solicitations an</w:t>
                  </w:r>
                  <w:r>
                    <w:t>d promotional programs to attract tourists and convention delegates or registrants to the municipality or its vicinity;</w:t>
                  </w:r>
                </w:p>
                <w:p w:rsidR="00E73F1D" w:rsidRDefault="001C7B29" w:rsidP="002F7803">
                  <w:pPr>
                    <w:jc w:val="both"/>
                  </w:pPr>
                  <w:r>
                    <w:t>(4)</w:t>
                  </w:r>
                  <w:r>
                    <w:t xml:space="preserve"> </w:t>
                  </w:r>
                  <w:r>
                    <w:t>the encouragement, promotion, improvement, and application of the arts, including instrumental and vocal music, dance, drama, folk a</w:t>
                  </w:r>
                  <w:r>
                    <w:t>rt, creative writing, architecture, design and allied fields, painting, sculpture, photography, graphic and craft arts, motion pictures, radio, television, tape and sound recording, and other arts related to the presentation, performance, execution, and ex</w:t>
                  </w:r>
                  <w:r>
                    <w:t>hibition of these major art forms;</w:t>
                  </w:r>
                </w:p>
                <w:p w:rsidR="00E73F1D" w:rsidRDefault="001C7B29" w:rsidP="002F7803">
                  <w:pPr>
                    <w:jc w:val="both"/>
                  </w:pPr>
                  <w:r>
                    <w:t>(5)</w:t>
                  </w:r>
                  <w:r>
                    <w:t xml:space="preserve"> </w:t>
                  </w:r>
                  <w:r>
                    <w:t>historical restoration and preservation projects or activities or advertising and conducting solicitations and promotional programs to encourage tourists and convention delegates to visit preserved historic sites or m</w:t>
                  </w:r>
                  <w:r>
                    <w:t>useums:</w:t>
                  </w:r>
                </w:p>
                <w:p w:rsidR="00E73F1D" w:rsidRDefault="001C7B29" w:rsidP="002F7803">
                  <w:pPr>
                    <w:jc w:val="both"/>
                  </w:pPr>
                  <w:r>
                    <w:t>(A)</w:t>
                  </w:r>
                  <w:r>
                    <w:t xml:space="preserve"> </w:t>
                  </w:r>
                  <w:r>
                    <w:t>at or in the immediate vicinity of convention center facilities or visitor information centers; or</w:t>
                  </w:r>
                </w:p>
                <w:p w:rsidR="00E73F1D" w:rsidRDefault="001C7B29" w:rsidP="002F7803">
                  <w:pPr>
                    <w:jc w:val="both"/>
                  </w:pPr>
                  <w:r>
                    <w:t>(B)</w:t>
                  </w:r>
                  <w:r>
                    <w:t xml:space="preserve"> </w:t>
                  </w:r>
                  <w:r>
                    <w:t xml:space="preserve">located elsewhere in the municipality or </w:t>
                  </w:r>
                  <w:r>
                    <w:lastRenderedPageBreak/>
                    <w:t>its vicinity that would be frequented by tourists and convention delegates;</w:t>
                  </w:r>
                </w:p>
                <w:p w:rsidR="00E73F1D" w:rsidRDefault="001C7B29" w:rsidP="002F7803">
                  <w:pPr>
                    <w:jc w:val="both"/>
                  </w:pPr>
                  <w:r>
                    <w:t>(6)</w:t>
                  </w:r>
                  <w:r>
                    <w:t xml:space="preserve"> </w:t>
                  </w:r>
                  <w:r>
                    <w:t>for a municipality l</w:t>
                  </w:r>
                  <w:r>
                    <w:t>ocated in a county with a population of one million or less, expenses, including promotion expenses, directly related to a sporting event in which the majority of participants are tourists who substantially increase economic activity at hotels and motels w</w:t>
                  </w:r>
                  <w:r>
                    <w:t>ithin the municipality or its vicinity;</w:t>
                  </w:r>
                </w:p>
                <w:p w:rsidR="00E73F1D" w:rsidRDefault="001C7B29" w:rsidP="002F7803">
                  <w:pPr>
                    <w:jc w:val="both"/>
                  </w:pPr>
                  <w:r>
                    <w:t>(7)</w:t>
                  </w:r>
                  <w:r>
                    <w:t xml:space="preserve"> </w:t>
                  </w:r>
                  <w:r>
                    <w:t>subject to Section 351.1076, the promotion of tourism by the enhancement and upgrading of existing sports facilities or fields, including facilities or fields for baseball, softball, soccer, flag football, and ro</w:t>
                  </w:r>
                  <w:r>
                    <w:t>deos, if:</w:t>
                  </w:r>
                </w:p>
                <w:p w:rsidR="00E73F1D" w:rsidRDefault="001C7B29" w:rsidP="002F7803">
                  <w:pPr>
                    <w:jc w:val="both"/>
                  </w:pPr>
                  <w:r>
                    <w:t>(A)</w:t>
                  </w:r>
                  <w:r>
                    <w:t xml:space="preserve"> </w:t>
                  </w:r>
                  <w:r>
                    <w:t>the municipality owns the facilities or fields;</w:t>
                  </w:r>
                </w:p>
                <w:p w:rsidR="00E73F1D" w:rsidRDefault="001C7B29" w:rsidP="002F7803">
                  <w:pPr>
                    <w:jc w:val="both"/>
                  </w:pPr>
                  <w:r>
                    <w:t>(B)</w:t>
                  </w:r>
                  <w:r>
                    <w:t xml:space="preserve"> </w:t>
                  </w:r>
                  <w:r>
                    <w:t>the municipality:</w:t>
                  </w:r>
                </w:p>
                <w:p w:rsidR="00E73F1D" w:rsidRDefault="001C7B29" w:rsidP="002F7803">
                  <w:pPr>
                    <w:jc w:val="both"/>
                  </w:pPr>
                  <w:r>
                    <w:t>(i)</w:t>
                  </w:r>
                  <w:r>
                    <w:t xml:space="preserve"> </w:t>
                  </w:r>
                  <w:r>
                    <w:t>has a population of 80,000 or more and is located in a county that has a population of 350,000 or less;</w:t>
                  </w:r>
                </w:p>
                <w:p w:rsidR="00E73F1D" w:rsidRDefault="001C7B29" w:rsidP="002F7803">
                  <w:pPr>
                    <w:jc w:val="both"/>
                  </w:pPr>
                  <w:r>
                    <w:t>(ii)</w:t>
                  </w:r>
                  <w:r>
                    <w:t xml:space="preserve"> </w:t>
                  </w:r>
                  <w:r>
                    <w:t xml:space="preserve">has a population of at least 75,000 but not more than </w:t>
                  </w:r>
                  <w:r>
                    <w:t>95,000 and is located in a county that has a population of less than 200,000 but more than 160,000;</w:t>
                  </w:r>
                </w:p>
                <w:p w:rsidR="00E73F1D" w:rsidRDefault="001C7B29" w:rsidP="002F7803">
                  <w:pPr>
                    <w:jc w:val="both"/>
                  </w:pPr>
                  <w:r>
                    <w:t>(iii)</w:t>
                  </w:r>
                  <w:r>
                    <w:t xml:space="preserve"> </w:t>
                  </w:r>
                  <w:r>
                    <w:t xml:space="preserve">has a population of at least 36,000 but not more than 39,000 and is located in a county that has a population of 100,000 or less that is not adjacent </w:t>
                  </w:r>
                  <w:r>
                    <w:t>to a county with a population of more than two million;</w:t>
                  </w:r>
                </w:p>
                <w:p w:rsidR="00E73F1D" w:rsidRDefault="001C7B29" w:rsidP="002F7803">
                  <w:pPr>
                    <w:jc w:val="both"/>
                  </w:pPr>
                  <w:r>
                    <w:t>(iv)</w:t>
                  </w:r>
                  <w:r>
                    <w:t xml:space="preserve"> </w:t>
                  </w:r>
                  <w:r>
                    <w:t>has a population of at least 13,000 but less than 39,000 and is located in a county that has a population of at least 200,000;</w:t>
                  </w:r>
                </w:p>
                <w:p w:rsidR="00E73F1D" w:rsidRDefault="001C7B29" w:rsidP="002F7803">
                  <w:pPr>
                    <w:jc w:val="both"/>
                  </w:pPr>
                  <w:r>
                    <w:t>(v)</w:t>
                  </w:r>
                  <w:r>
                    <w:t xml:space="preserve"> </w:t>
                  </w:r>
                  <w:r>
                    <w:t xml:space="preserve">has a population of at least 70,000 but less than 90,000 and no </w:t>
                  </w:r>
                  <w:r>
                    <w:t>part of which is located in a county with a population greater than 150,000;</w:t>
                  </w:r>
                </w:p>
                <w:p w:rsidR="00E73F1D" w:rsidRDefault="001C7B29" w:rsidP="002F7803">
                  <w:pPr>
                    <w:jc w:val="both"/>
                  </w:pPr>
                  <w:r>
                    <w:t>(vi)</w:t>
                  </w:r>
                  <w:r>
                    <w:t xml:space="preserve"> </w:t>
                  </w:r>
                  <w:r>
                    <w:t>is located in a county that:</w:t>
                  </w:r>
                </w:p>
                <w:p w:rsidR="00E73F1D" w:rsidRDefault="001C7B29" w:rsidP="002F7803">
                  <w:pPr>
                    <w:jc w:val="both"/>
                  </w:pPr>
                  <w:r>
                    <w:t>(a)</w:t>
                  </w:r>
                  <w:r>
                    <w:t xml:space="preserve"> </w:t>
                  </w:r>
                  <w:r>
                    <w:t>is adjacent to the Texas-Mexico border;</w:t>
                  </w:r>
                </w:p>
                <w:p w:rsidR="00E73F1D" w:rsidRDefault="001C7B29" w:rsidP="002F7803">
                  <w:pPr>
                    <w:jc w:val="both"/>
                  </w:pPr>
                  <w:r>
                    <w:t>(b)</w:t>
                  </w:r>
                  <w:r>
                    <w:t xml:space="preserve"> </w:t>
                  </w:r>
                  <w:r>
                    <w:t>has a population of at least 500,000; and</w:t>
                  </w:r>
                </w:p>
                <w:p w:rsidR="00E73F1D" w:rsidRDefault="001C7B29" w:rsidP="002F7803">
                  <w:pPr>
                    <w:jc w:val="both"/>
                  </w:pPr>
                  <w:r>
                    <w:t>(c)</w:t>
                  </w:r>
                  <w:r>
                    <w:t xml:space="preserve"> </w:t>
                  </w:r>
                  <w:r>
                    <w:t>does not have a municipality with a population grea</w:t>
                  </w:r>
                  <w:r>
                    <w:t>ter than 500,000;</w:t>
                  </w:r>
                </w:p>
                <w:p w:rsidR="00E73F1D" w:rsidRDefault="001C7B29" w:rsidP="002F7803">
                  <w:pPr>
                    <w:jc w:val="both"/>
                  </w:pPr>
                  <w:r>
                    <w:t>(vii)</w:t>
                  </w:r>
                  <w:r>
                    <w:t xml:space="preserve"> </w:t>
                  </w:r>
                  <w:r>
                    <w:t>has a population of at least 25,000 but not more than 26,000 and is located in a county that has a population of 90,000 or less;</w:t>
                  </w:r>
                </w:p>
                <w:p w:rsidR="00E73F1D" w:rsidRDefault="001C7B29" w:rsidP="002F7803">
                  <w:pPr>
                    <w:jc w:val="both"/>
                  </w:pPr>
                  <w:r>
                    <w:rPr>
                      <w:u w:val="single"/>
                    </w:rPr>
                    <w:t>(viii)</w:t>
                  </w:r>
                  <w:r>
                    <w:t xml:space="preserve"> [</w:t>
                  </w:r>
                  <w:r>
                    <w:rPr>
                      <w:strike/>
                    </w:rPr>
                    <w:t>(ix)</w:t>
                  </w:r>
                  <w:r>
                    <w:t>]</w:t>
                  </w:r>
                  <w:r>
                    <w:t xml:space="preserve"> </w:t>
                  </w:r>
                  <w:r>
                    <w:t>is located in a county that has a population of not more than 300,000 and in which a comp</w:t>
                  </w:r>
                  <w:r>
                    <w:t>onent university of the University of Houston System is located; [</w:t>
                  </w:r>
                  <w:r>
                    <w:rPr>
                      <w:strike/>
                    </w:rPr>
                    <w:t>or</w:t>
                  </w:r>
                  <w:r>
                    <w:t>]</w:t>
                  </w:r>
                </w:p>
                <w:p w:rsidR="00E73F1D" w:rsidRDefault="001C7B29" w:rsidP="002F7803">
                  <w:pPr>
                    <w:jc w:val="both"/>
                  </w:pPr>
                  <w:r>
                    <w:rPr>
                      <w:u w:val="single"/>
                    </w:rPr>
                    <w:t>(ix)</w:t>
                  </w:r>
                  <w:r>
                    <w:t xml:space="preserve"> [</w:t>
                  </w:r>
                  <w:r>
                    <w:rPr>
                      <w:strike/>
                    </w:rPr>
                    <w:t>(x)</w:t>
                  </w:r>
                  <w:r>
                    <w:t>]</w:t>
                  </w:r>
                  <w:r>
                    <w:t xml:space="preserve"> </w:t>
                  </w:r>
                  <w:r>
                    <w:t xml:space="preserve">has a population of at least 40,000 and the San Marcos River flows through the municipality; </w:t>
                  </w:r>
                  <w:r>
                    <w:rPr>
                      <w:u w:val="single"/>
                    </w:rPr>
                    <w:t>or</w:t>
                  </w:r>
                </w:p>
                <w:p w:rsidR="00E73F1D" w:rsidRDefault="001C7B29" w:rsidP="002F7803">
                  <w:pPr>
                    <w:jc w:val="both"/>
                  </w:pPr>
                  <w:r>
                    <w:rPr>
                      <w:u w:val="single"/>
                    </w:rPr>
                    <w:t>(x)</w:t>
                  </w:r>
                  <w:r>
                    <w:rPr>
                      <w:u w:val="single"/>
                    </w:rPr>
                    <w:t xml:space="preserve"> </w:t>
                  </w:r>
                  <w:r>
                    <w:rPr>
                      <w:u w:val="single"/>
                    </w:rPr>
                    <w:t>contains an intersection of Interstates 35E and 35W and at least two public</w:t>
                  </w:r>
                  <w:r>
                    <w:rPr>
                      <w:u w:val="single"/>
                    </w:rPr>
                    <w:t xml:space="preserve"> universities;</w:t>
                  </w:r>
                  <w:r>
                    <w:t xml:space="preserve"> and</w:t>
                  </w:r>
                </w:p>
                <w:p w:rsidR="00E73F1D" w:rsidRDefault="001C7B29" w:rsidP="002F7803">
                  <w:pPr>
                    <w:jc w:val="both"/>
                  </w:pPr>
                  <w:r>
                    <w:t>(C)</w:t>
                  </w:r>
                  <w:r>
                    <w:t xml:space="preserve"> </w:t>
                  </w:r>
                  <w:r>
                    <w:t>the sports facilities and fields have been used, in the preceding calendar year, a combined total of more than 10 times for district, state, regional, or national sports tournaments;</w:t>
                  </w:r>
                </w:p>
                <w:p w:rsidR="00E73F1D" w:rsidRDefault="001C7B29" w:rsidP="002F7803">
                  <w:pPr>
                    <w:jc w:val="both"/>
                  </w:pPr>
                  <w:r>
                    <w:t>(8)</w:t>
                  </w:r>
                  <w:r>
                    <w:t xml:space="preserve"> </w:t>
                  </w:r>
                  <w:r>
                    <w:t>for a municipality with a population of at lea</w:t>
                  </w:r>
                  <w:r>
                    <w:t>st 70,000 but less than 90,000, no part of which is located in a county with a population greater than 150,000, the construction, improvement, enlarging, equipping, repairing, operation, and maintenance of a coliseum or multiuse facility;</w:t>
                  </w:r>
                </w:p>
                <w:p w:rsidR="00E73F1D" w:rsidRDefault="001C7B29" w:rsidP="002F7803">
                  <w:pPr>
                    <w:jc w:val="both"/>
                  </w:pPr>
                  <w:r>
                    <w:t>(9)</w:t>
                  </w:r>
                  <w:r>
                    <w:t xml:space="preserve"> </w:t>
                  </w:r>
                  <w:r>
                    <w:t>signage direc</w:t>
                  </w:r>
                  <w:r>
                    <w:t>ting the public to sights and attractions that are visited frequently by hotel guests in the municipality;</w:t>
                  </w:r>
                </w:p>
                <w:p w:rsidR="00E73F1D" w:rsidRDefault="001C7B29" w:rsidP="002F7803">
                  <w:pPr>
                    <w:jc w:val="both"/>
                  </w:pPr>
                  <w:r>
                    <w:t>(10)</w:t>
                  </w:r>
                  <w:r>
                    <w:t xml:space="preserve"> </w:t>
                  </w:r>
                  <w:r>
                    <w:t xml:space="preserve">the construction, improvement, enlarging, equipping, repairing, operation, and maintenance of a coliseum or multiuse facility, if the </w:t>
                  </w:r>
                  <w:r>
                    <w:t>municipality:</w:t>
                  </w:r>
                </w:p>
                <w:p w:rsidR="00E73F1D" w:rsidRDefault="001C7B29" w:rsidP="002F7803">
                  <w:pPr>
                    <w:jc w:val="both"/>
                  </w:pPr>
                  <w:r>
                    <w:t>(A)</w:t>
                  </w:r>
                  <w:r>
                    <w:t xml:space="preserve"> </w:t>
                  </w:r>
                  <w:r>
                    <w:t>has a population of at least 90,000 but less than 120,000; and</w:t>
                  </w:r>
                </w:p>
                <w:p w:rsidR="00E73F1D" w:rsidRDefault="001C7B29" w:rsidP="002F7803">
                  <w:pPr>
                    <w:jc w:val="both"/>
                  </w:pPr>
                  <w:r>
                    <w:t>(B)</w:t>
                  </w:r>
                  <w:r>
                    <w:t xml:space="preserve"> </w:t>
                  </w:r>
                  <w:r>
                    <w:t>is located in two counties, at least one of which contains the headwaters of the San Gabriel River; and</w:t>
                  </w:r>
                </w:p>
                <w:p w:rsidR="00E73F1D" w:rsidRDefault="001C7B29" w:rsidP="002F7803">
                  <w:pPr>
                    <w:jc w:val="both"/>
                  </w:pPr>
                  <w:r>
                    <w:t>(11)</w:t>
                  </w:r>
                  <w:r>
                    <w:t xml:space="preserve"> </w:t>
                  </w:r>
                  <w:r>
                    <w:t xml:space="preserve">for a municipality with a population of more than 175,000 but </w:t>
                  </w:r>
                  <w:r>
                    <w:t>less than 225,000 that is located in two counties, each of which has a population of less than 200,000, the construction, improvement, enlarging, equipping, repairing, operation, and maintenance of a coliseum or multiuse facility and related infrastructure</w:t>
                  </w:r>
                  <w:r>
                    <w:t xml:space="preserve"> or a venue, as defined by Section 334.001(4), Local Government Code, that is related to the promotion of tourism.</w:t>
                  </w:r>
                </w:p>
              </w:tc>
            </w:tr>
            <w:tr w:rsidR="00485530" w:rsidTr="00187555">
              <w:tc>
                <w:tcPr>
                  <w:tcW w:w="4680" w:type="dxa"/>
                  <w:tcMar>
                    <w:right w:w="360" w:type="dxa"/>
                  </w:tcMar>
                </w:tcPr>
                <w:p w:rsidR="00E73F1D" w:rsidRPr="00813B1A" w:rsidRDefault="001C7B29" w:rsidP="002F7803">
                  <w:pPr>
                    <w:jc w:val="both"/>
                    <w:rPr>
                      <w:highlight w:val="lightGray"/>
                    </w:rPr>
                  </w:pPr>
                  <w:r w:rsidRPr="00813B1A">
                    <w:rPr>
                      <w:highlight w:val="lightGray"/>
                    </w:rPr>
                    <w:lastRenderedPageBreak/>
                    <w:t>No equivalent provision.</w:t>
                  </w:r>
                </w:p>
                <w:p w:rsidR="00E73F1D" w:rsidRDefault="001C7B29" w:rsidP="002F7803">
                  <w:pPr>
                    <w:jc w:val="both"/>
                  </w:pPr>
                </w:p>
              </w:tc>
              <w:tc>
                <w:tcPr>
                  <w:tcW w:w="4680" w:type="dxa"/>
                  <w:tcMar>
                    <w:left w:w="360" w:type="dxa"/>
                  </w:tcMar>
                </w:tcPr>
                <w:p w:rsidR="00E73F1D" w:rsidRDefault="001C7B29" w:rsidP="002F7803">
                  <w:pPr>
                    <w:jc w:val="both"/>
                  </w:pPr>
                  <w:r>
                    <w:t>SECTION 2.</w:t>
                  </w:r>
                  <w:r>
                    <w:t xml:space="preserve"> </w:t>
                  </w:r>
                  <w:r>
                    <w:t xml:space="preserve">To the extent of any conflict, this Act controls over another Act of the 85th Legislature, Regular </w:t>
                  </w:r>
                  <w:r>
                    <w:t>Session, 2017, relating to nonsubstantive additions to and corrections in enacted codes.</w:t>
                  </w:r>
                </w:p>
              </w:tc>
            </w:tr>
            <w:tr w:rsidR="00485530" w:rsidTr="00187555">
              <w:tc>
                <w:tcPr>
                  <w:tcW w:w="4680" w:type="dxa"/>
                  <w:tcMar>
                    <w:right w:w="360" w:type="dxa"/>
                  </w:tcMar>
                </w:tcPr>
                <w:p w:rsidR="00E73F1D" w:rsidRDefault="001C7B29" w:rsidP="002F7803">
                  <w:pPr>
                    <w:jc w:val="both"/>
                  </w:pPr>
                  <w:r>
                    <w:t>SECTION 2.</w:t>
                  </w:r>
                  <w:r>
                    <w:t xml:space="preserve"> </w:t>
                  </w:r>
                  <w:r>
                    <w:t>This Act takes effect immediately if it receives a vote of two-thirds of all the members elected to each house, as provided by Section 39, Article III, Tex</w:t>
                  </w:r>
                  <w:r>
                    <w:t>as Constitution.</w:t>
                  </w:r>
                  <w:r>
                    <w:t xml:space="preserve"> </w:t>
                  </w:r>
                  <w:r>
                    <w:t>If this Act does not receive the vote necessary for immediate effect, this Act takes effect September 1, 2017.</w:t>
                  </w:r>
                </w:p>
              </w:tc>
              <w:tc>
                <w:tcPr>
                  <w:tcW w:w="4680" w:type="dxa"/>
                  <w:tcMar>
                    <w:left w:w="360" w:type="dxa"/>
                  </w:tcMar>
                </w:tcPr>
                <w:p w:rsidR="00E73F1D" w:rsidRDefault="001C7B29" w:rsidP="002F7803">
                  <w:pPr>
                    <w:jc w:val="both"/>
                  </w:pPr>
                  <w:r>
                    <w:t>SECTION 3. Same as introduced version.</w:t>
                  </w:r>
                </w:p>
                <w:p w:rsidR="00E73F1D" w:rsidRDefault="001C7B29" w:rsidP="002F7803">
                  <w:pPr>
                    <w:jc w:val="both"/>
                  </w:pPr>
                </w:p>
                <w:p w:rsidR="00E73F1D" w:rsidRDefault="001C7B29" w:rsidP="002F7803">
                  <w:pPr>
                    <w:jc w:val="both"/>
                  </w:pPr>
                </w:p>
              </w:tc>
            </w:tr>
          </w:tbl>
          <w:p w:rsidR="00E73F1D" w:rsidRPr="009C1E9A" w:rsidRDefault="001C7B29" w:rsidP="002F7803">
            <w:pPr>
              <w:rPr>
                <w:b/>
                <w:u w:val="single"/>
              </w:rPr>
            </w:pPr>
          </w:p>
        </w:tc>
      </w:tr>
    </w:tbl>
    <w:p w:rsidR="008423E4" w:rsidRPr="00B000F3" w:rsidRDefault="001C7B29" w:rsidP="008423E4">
      <w:pPr>
        <w:spacing w:line="480" w:lineRule="auto"/>
        <w:jc w:val="both"/>
        <w:rPr>
          <w:rFonts w:ascii="Arial" w:hAnsi="Arial"/>
          <w:sz w:val="2"/>
          <w:szCs w:val="2"/>
        </w:rPr>
      </w:pPr>
    </w:p>
    <w:p w:rsidR="004108C3" w:rsidRPr="00B000F3" w:rsidRDefault="001C7B29" w:rsidP="008423E4">
      <w:pPr>
        <w:rPr>
          <w:sz w:val="2"/>
          <w:szCs w:val="2"/>
        </w:rPr>
      </w:pPr>
    </w:p>
    <w:sectPr w:rsidR="004108C3" w:rsidRPr="00B000F3"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C7B29">
      <w:r>
        <w:separator/>
      </w:r>
    </w:p>
  </w:endnote>
  <w:endnote w:type="continuationSeparator" w:id="0">
    <w:p w:rsidR="00000000" w:rsidRDefault="001C7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9B" w:rsidRDefault="001C7B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485530" w:rsidTr="009C1E9A">
      <w:trPr>
        <w:cantSplit/>
      </w:trPr>
      <w:tc>
        <w:tcPr>
          <w:tcW w:w="0" w:type="pct"/>
        </w:tcPr>
        <w:p w:rsidR="00137D90" w:rsidRDefault="001C7B29" w:rsidP="009C1E9A">
          <w:pPr>
            <w:pStyle w:val="Footer"/>
            <w:tabs>
              <w:tab w:val="clear" w:pos="8640"/>
              <w:tab w:val="right" w:pos="9360"/>
            </w:tabs>
          </w:pPr>
        </w:p>
      </w:tc>
      <w:tc>
        <w:tcPr>
          <w:tcW w:w="2395" w:type="pct"/>
        </w:tcPr>
        <w:p w:rsidR="00137D90" w:rsidRDefault="001C7B29" w:rsidP="009C1E9A">
          <w:pPr>
            <w:pStyle w:val="Footer"/>
            <w:tabs>
              <w:tab w:val="clear" w:pos="8640"/>
              <w:tab w:val="right" w:pos="9360"/>
            </w:tabs>
          </w:pPr>
        </w:p>
        <w:p w:rsidR="001A4310" w:rsidRDefault="001C7B29" w:rsidP="009C1E9A">
          <w:pPr>
            <w:pStyle w:val="Footer"/>
            <w:tabs>
              <w:tab w:val="clear" w:pos="8640"/>
              <w:tab w:val="right" w:pos="9360"/>
            </w:tabs>
          </w:pPr>
        </w:p>
        <w:p w:rsidR="00137D90" w:rsidRDefault="001C7B29" w:rsidP="009C1E9A">
          <w:pPr>
            <w:pStyle w:val="Footer"/>
            <w:tabs>
              <w:tab w:val="clear" w:pos="8640"/>
              <w:tab w:val="right" w:pos="9360"/>
            </w:tabs>
          </w:pPr>
        </w:p>
      </w:tc>
      <w:tc>
        <w:tcPr>
          <w:tcW w:w="2453" w:type="pct"/>
        </w:tcPr>
        <w:p w:rsidR="00137D90" w:rsidRDefault="001C7B29" w:rsidP="009C1E9A">
          <w:pPr>
            <w:pStyle w:val="Footer"/>
            <w:tabs>
              <w:tab w:val="clear" w:pos="8640"/>
              <w:tab w:val="right" w:pos="9360"/>
            </w:tabs>
            <w:jc w:val="right"/>
          </w:pPr>
        </w:p>
      </w:tc>
    </w:tr>
    <w:tr w:rsidR="00485530" w:rsidTr="009C1E9A">
      <w:trPr>
        <w:cantSplit/>
      </w:trPr>
      <w:tc>
        <w:tcPr>
          <w:tcW w:w="0" w:type="pct"/>
        </w:tcPr>
        <w:p w:rsidR="00EC379B" w:rsidRDefault="001C7B29" w:rsidP="009C1E9A">
          <w:pPr>
            <w:pStyle w:val="Footer"/>
            <w:tabs>
              <w:tab w:val="clear" w:pos="8640"/>
              <w:tab w:val="right" w:pos="9360"/>
            </w:tabs>
          </w:pPr>
        </w:p>
      </w:tc>
      <w:tc>
        <w:tcPr>
          <w:tcW w:w="2395" w:type="pct"/>
        </w:tcPr>
        <w:p w:rsidR="00EC379B" w:rsidRPr="009C1E9A" w:rsidRDefault="001C7B29" w:rsidP="009C1E9A">
          <w:pPr>
            <w:pStyle w:val="Footer"/>
            <w:tabs>
              <w:tab w:val="clear" w:pos="8640"/>
              <w:tab w:val="right" w:pos="9360"/>
            </w:tabs>
            <w:rPr>
              <w:rFonts w:ascii="Shruti" w:hAnsi="Shruti"/>
              <w:sz w:val="22"/>
            </w:rPr>
          </w:pPr>
          <w:r>
            <w:rPr>
              <w:rFonts w:ascii="Shruti" w:hAnsi="Shruti"/>
              <w:sz w:val="22"/>
            </w:rPr>
            <w:t>85R 25519</w:t>
          </w:r>
        </w:p>
      </w:tc>
      <w:tc>
        <w:tcPr>
          <w:tcW w:w="2453" w:type="pct"/>
        </w:tcPr>
        <w:p w:rsidR="00EC379B" w:rsidRDefault="001C7B29" w:rsidP="009C1E9A">
          <w:pPr>
            <w:pStyle w:val="Footer"/>
            <w:tabs>
              <w:tab w:val="clear" w:pos="8640"/>
              <w:tab w:val="right" w:pos="9360"/>
            </w:tabs>
            <w:jc w:val="right"/>
          </w:pPr>
          <w:r>
            <w:fldChar w:fldCharType="begin"/>
          </w:r>
          <w:r>
            <w:instrText xml:space="preserve"> DOCPROPERTY  OTID  \* MERGEFORMAT </w:instrText>
          </w:r>
          <w:r>
            <w:fldChar w:fldCharType="separate"/>
          </w:r>
          <w:r>
            <w:t>17.112.192</w:t>
          </w:r>
          <w:r>
            <w:fldChar w:fldCharType="end"/>
          </w:r>
        </w:p>
      </w:tc>
    </w:tr>
    <w:tr w:rsidR="00485530" w:rsidTr="009C1E9A">
      <w:trPr>
        <w:cantSplit/>
      </w:trPr>
      <w:tc>
        <w:tcPr>
          <w:tcW w:w="0" w:type="pct"/>
        </w:tcPr>
        <w:p w:rsidR="00EC379B" w:rsidRDefault="001C7B29" w:rsidP="009C1E9A">
          <w:pPr>
            <w:pStyle w:val="Footer"/>
            <w:tabs>
              <w:tab w:val="clear" w:pos="4320"/>
              <w:tab w:val="clear" w:pos="8640"/>
              <w:tab w:val="left" w:pos="2865"/>
            </w:tabs>
          </w:pPr>
        </w:p>
      </w:tc>
      <w:tc>
        <w:tcPr>
          <w:tcW w:w="2395" w:type="pct"/>
        </w:tcPr>
        <w:p w:rsidR="00EC379B" w:rsidRPr="009C1E9A" w:rsidRDefault="001C7B29" w:rsidP="009C1E9A">
          <w:pPr>
            <w:pStyle w:val="Footer"/>
            <w:tabs>
              <w:tab w:val="clear" w:pos="4320"/>
              <w:tab w:val="clear" w:pos="8640"/>
              <w:tab w:val="left" w:pos="2865"/>
            </w:tabs>
            <w:rPr>
              <w:rFonts w:ascii="Shruti" w:hAnsi="Shruti"/>
              <w:sz w:val="22"/>
            </w:rPr>
          </w:pPr>
          <w:r>
            <w:rPr>
              <w:rFonts w:ascii="Shruti" w:hAnsi="Shruti"/>
              <w:sz w:val="22"/>
            </w:rPr>
            <w:t>Substitute Document Number: 85R 24205</w:t>
          </w:r>
        </w:p>
      </w:tc>
      <w:tc>
        <w:tcPr>
          <w:tcW w:w="2453" w:type="pct"/>
        </w:tcPr>
        <w:p w:rsidR="00EC379B" w:rsidRDefault="001C7B29" w:rsidP="006D504F">
          <w:pPr>
            <w:pStyle w:val="Footer"/>
            <w:rPr>
              <w:rStyle w:val="PageNumber"/>
            </w:rPr>
          </w:pPr>
        </w:p>
        <w:p w:rsidR="00EC379B" w:rsidRDefault="001C7B29" w:rsidP="009C1E9A">
          <w:pPr>
            <w:pStyle w:val="Footer"/>
            <w:tabs>
              <w:tab w:val="clear" w:pos="8640"/>
              <w:tab w:val="right" w:pos="9360"/>
            </w:tabs>
            <w:jc w:val="right"/>
          </w:pPr>
        </w:p>
      </w:tc>
    </w:tr>
    <w:tr w:rsidR="00485530" w:rsidTr="009C1E9A">
      <w:trPr>
        <w:cantSplit/>
        <w:trHeight w:val="323"/>
      </w:trPr>
      <w:tc>
        <w:tcPr>
          <w:tcW w:w="0" w:type="pct"/>
          <w:gridSpan w:val="3"/>
        </w:tcPr>
        <w:p w:rsidR="00EC379B" w:rsidRDefault="001C7B29"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1C7B29" w:rsidP="009C1E9A">
          <w:pPr>
            <w:pStyle w:val="Footer"/>
            <w:tabs>
              <w:tab w:val="clear" w:pos="8640"/>
              <w:tab w:val="right" w:pos="9360"/>
            </w:tabs>
            <w:jc w:val="center"/>
          </w:pPr>
        </w:p>
      </w:tc>
    </w:tr>
  </w:tbl>
  <w:p w:rsidR="00EC379B" w:rsidRPr="00FF6F72" w:rsidRDefault="001C7B29" w:rsidP="006D504F">
    <w:pPr>
      <w:pStyle w:val="Footer"/>
      <w:tabs>
        <w:tab w:val="clear" w:pos="8640"/>
        <w:tab w:val="right" w:pos="9360"/>
      </w:tabs>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9B" w:rsidRDefault="001C7B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C7B29">
      <w:r>
        <w:separator/>
      </w:r>
    </w:p>
  </w:footnote>
  <w:footnote w:type="continuationSeparator" w:id="0">
    <w:p w:rsidR="00000000" w:rsidRDefault="001C7B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9B" w:rsidRDefault="001C7B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9B" w:rsidRDefault="001C7B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9B" w:rsidRDefault="001C7B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530"/>
    <w:rsid w:val="001C7B29"/>
    <w:rsid w:val="00485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552DC2"/>
    <w:rPr>
      <w:sz w:val="16"/>
      <w:szCs w:val="16"/>
    </w:rPr>
  </w:style>
  <w:style w:type="paragraph" w:styleId="CommentText">
    <w:name w:val="annotation text"/>
    <w:basedOn w:val="Normal"/>
    <w:link w:val="CommentTextChar"/>
    <w:rsid w:val="00552DC2"/>
    <w:rPr>
      <w:sz w:val="20"/>
      <w:szCs w:val="20"/>
    </w:rPr>
  </w:style>
  <w:style w:type="character" w:customStyle="1" w:styleId="CommentTextChar">
    <w:name w:val="Comment Text Char"/>
    <w:basedOn w:val="DefaultParagraphFont"/>
    <w:link w:val="CommentText"/>
    <w:rsid w:val="00552DC2"/>
  </w:style>
  <w:style w:type="paragraph" w:styleId="CommentSubject">
    <w:name w:val="annotation subject"/>
    <w:basedOn w:val="CommentText"/>
    <w:next w:val="CommentText"/>
    <w:link w:val="CommentSubjectChar"/>
    <w:rsid w:val="00552DC2"/>
    <w:rPr>
      <w:b/>
      <w:bCs/>
    </w:rPr>
  </w:style>
  <w:style w:type="character" w:customStyle="1" w:styleId="CommentSubjectChar">
    <w:name w:val="Comment Subject Char"/>
    <w:basedOn w:val="CommentTextChar"/>
    <w:link w:val="CommentSubject"/>
    <w:rsid w:val="00552D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552DC2"/>
    <w:rPr>
      <w:sz w:val="16"/>
      <w:szCs w:val="16"/>
    </w:rPr>
  </w:style>
  <w:style w:type="paragraph" w:styleId="CommentText">
    <w:name w:val="annotation text"/>
    <w:basedOn w:val="Normal"/>
    <w:link w:val="CommentTextChar"/>
    <w:rsid w:val="00552DC2"/>
    <w:rPr>
      <w:sz w:val="20"/>
      <w:szCs w:val="20"/>
    </w:rPr>
  </w:style>
  <w:style w:type="character" w:customStyle="1" w:styleId="CommentTextChar">
    <w:name w:val="Comment Text Char"/>
    <w:basedOn w:val="DefaultParagraphFont"/>
    <w:link w:val="CommentText"/>
    <w:rsid w:val="00552DC2"/>
  </w:style>
  <w:style w:type="paragraph" w:styleId="CommentSubject">
    <w:name w:val="annotation subject"/>
    <w:basedOn w:val="CommentText"/>
    <w:next w:val="CommentText"/>
    <w:link w:val="CommentSubjectChar"/>
    <w:rsid w:val="00552DC2"/>
    <w:rPr>
      <w:b/>
      <w:bCs/>
    </w:rPr>
  </w:style>
  <w:style w:type="character" w:customStyle="1" w:styleId="CommentSubjectChar">
    <w:name w:val="Comment Subject Char"/>
    <w:basedOn w:val="CommentTextChar"/>
    <w:link w:val="CommentSubject"/>
    <w:rsid w:val="00552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1303</Words>
  <Characters>6952</Characters>
  <Application>Microsoft Office Word</Application>
  <DocSecurity>4</DocSecurity>
  <Lines>229</Lines>
  <Paragraphs>62</Paragraphs>
  <ScaleCrop>false</ScaleCrop>
  <HeadingPairs>
    <vt:vector size="2" baseType="variant">
      <vt:variant>
        <vt:lpstr>Title</vt:lpstr>
      </vt:variant>
      <vt:variant>
        <vt:i4>1</vt:i4>
      </vt:variant>
    </vt:vector>
  </HeadingPairs>
  <TitlesOfParts>
    <vt:vector size="1" baseType="lpstr">
      <vt:lpstr>BA - HB02445 (Committee Report (Substituted))</vt:lpstr>
    </vt:vector>
  </TitlesOfParts>
  <Company>State of Texas</Company>
  <LinksUpToDate>false</LinksUpToDate>
  <CharactersWithSpaces>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25519</dc:subject>
  <dc:creator>State of Texas</dc:creator>
  <dc:description>HB 2445 by Stucky-(H)Ways &amp; Means (Substitute Document Number: 85R 24205)</dc:description>
  <cp:lastModifiedBy>Molly Hoffman-Bricker</cp:lastModifiedBy>
  <cp:revision>2</cp:revision>
  <cp:lastPrinted>2017-04-23T21:04:00Z</cp:lastPrinted>
  <dcterms:created xsi:type="dcterms:W3CDTF">2017-04-26T23:24:00Z</dcterms:created>
  <dcterms:modified xsi:type="dcterms:W3CDTF">2017-04-26T23:24:00Z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17.112.192</vt:lpwstr>
  </property>
</Properties>
</file>