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23C41" w:rsidTr="00345119">
        <w:tc>
          <w:tcPr>
            <w:tcW w:w="9576" w:type="dxa"/>
            <w:noWrap/>
          </w:tcPr>
          <w:p w:rsidR="008423E4" w:rsidRPr="0022177D" w:rsidRDefault="00AD24B4" w:rsidP="00345119">
            <w:pPr>
              <w:pStyle w:val="Heading1"/>
            </w:pPr>
            <w:bookmarkStart w:id="0" w:name="_GoBack"/>
            <w:bookmarkEnd w:id="0"/>
            <w:r w:rsidRPr="00631897">
              <w:t>BILL ANALYSIS</w:t>
            </w:r>
          </w:p>
        </w:tc>
      </w:tr>
    </w:tbl>
    <w:p w:rsidR="008423E4" w:rsidRPr="0022177D" w:rsidRDefault="00AD24B4" w:rsidP="008423E4">
      <w:pPr>
        <w:jc w:val="center"/>
      </w:pPr>
    </w:p>
    <w:p w:rsidR="008423E4" w:rsidRPr="00B31F0E" w:rsidRDefault="00AD24B4" w:rsidP="008423E4"/>
    <w:p w:rsidR="008423E4" w:rsidRPr="00742794" w:rsidRDefault="00AD24B4" w:rsidP="008423E4">
      <w:pPr>
        <w:tabs>
          <w:tab w:val="right" w:pos="9360"/>
        </w:tabs>
      </w:pPr>
    </w:p>
    <w:tbl>
      <w:tblPr>
        <w:tblW w:w="0" w:type="auto"/>
        <w:tblLayout w:type="fixed"/>
        <w:tblLook w:val="01E0" w:firstRow="1" w:lastRow="1" w:firstColumn="1" w:lastColumn="1" w:noHBand="0" w:noVBand="0"/>
      </w:tblPr>
      <w:tblGrid>
        <w:gridCol w:w="9576"/>
      </w:tblGrid>
      <w:tr w:rsidR="00523C41" w:rsidTr="00345119">
        <w:tc>
          <w:tcPr>
            <w:tcW w:w="9576" w:type="dxa"/>
          </w:tcPr>
          <w:p w:rsidR="008423E4" w:rsidRPr="00861995" w:rsidRDefault="00AD24B4" w:rsidP="00345119">
            <w:pPr>
              <w:jc w:val="right"/>
            </w:pPr>
            <w:r>
              <w:t>C.S.H.B. 2228</w:t>
            </w:r>
          </w:p>
        </w:tc>
      </w:tr>
      <w:tr w:rsidR="00523C41" w:rsidTr="00345119">
        <w:tc>
          <w:tcPr>
            <w:tcW w:w="9576" w:type="dxa"/>
          </w:tcPr>
          <w:p w:rsidR="008423E4" w:rsidRPr="00861995" w:rsidRDefault="00AD24B4" w:rsidP="00655C6B">
            <w:pPr>
              <w:jc w:val="right"/>
            </w:pPr>
            <w:r>
              <w:t xml:space="preserve">By: </w:t>
            </w:r>
            <w:r>
              <w:t>Murphy</w:t>
            </w:r>
          </w:p>
        </w:tc>
      </w:tr>
      <w:tr w:rsidR="00523C41" w:rsidTr="00345119">
        <w:tc>
          <w:tcPr>
            <w:tcW w:w="9576" w:type="dxa"/>
          </w:tcPr>
          <w:p w:rsidR="008423E4" w:rsidRPr="00861995" w:rsidRDefault="00AD24B4" w:rsidP="00345119">
            <w:pPr>
              <w:jc w:val="right"/>
            </w:pPr>
            <w:r>
              <w:t>Ways &amp; Means</w:t>
            </w:r>
          </w:p>
        </w:tc>
      </w:tr>
      <w:tr w:rsidR="00523C41" w:rsidTr="00345119">
        <w:tc>
          <w:tcPr>
            <w:tcW w:w="9576" w:type="dxa"/>
          </w:tcPr>
          <w:p w:rsidR="008423E4" w:rsidRDefault="00AD24B4" w:rsidP="00345119">
            <w:pPr>
              <w:jc w:val="right"/>
            </w:pPr>
            <w:r>
              <w:t>Committee Report (Substituted)</w:t>
            </w:r>
          </w:p>
        </w:tc>
      </w:tr>
    </w:tbl>
    <w:p w:rsidR="008423E4" w:rsidRDefault="00AD24B4" w:rsidP="008423E4">
      <w:pPr>
        <w:tabs>
          <w:tab w:val="right" w:pos="9360"/>
        </w:tabs>
      </w:pPr>
    </w:p>
    <w:p w:rsidR="008423E4" w:rsidRDefault="00AD24B4" w:rsidP="008423E4"/>
    <w:p w:rsidR="008423E4" w:rsidRDefault="00AD24B4" w:rsidP="008423E4"/>
    <w:tbl>
      <w:tblPr>
        <w:tblW w:w="0" w:type="auto"/>
        <w:tblCellMar>
          <w:left w:w="115" w:type="dxa"/>
          <w:right w:w="115" w:type="dxa"/>
        </w:tblCellMar>
        <w:tblLook w:val="01E0" w:firstRow="1" w:lastRow="1" w:firstColumn="1" w:lastColumn="1" w:noHBand="0" w:noVBand="0"/>
      </w:tblPr>
      <w:tblGrid>
        <w:gridCol w:w="9582"/>
      </w:tblGrid>
      <w:tr w:rsidR="00523C41" w:rsidTr="00655C6B">
        <w:tc>
          <w:tcPr>
            <w:tcW w:w="9582" w:type="dxa"/>
          </w:tcPr>
          <w:p w:rsidR="008423E4" w:rsidRPr="00A8133F" w:rsidRDefault="00AD24B4" w:rsidP="004B647E">
            <w:pPr>
              <w:rPr>
                <w:b/>
              </w:rPr>
            </w:pPr>
            <w:r w:rsidRPr="009C1E9A">
              <w:rPr>
                <w:b/>
                <w:u w:val="single"/>
              </w:rPr>
              <w:t>BACKGROUND AND PURPOSE</w:t>
            </w:r>
            <w:r>
              <w:rPr>
                <w:b/>
              </w:rPr>
              <w:t xml:space="preserve"> </w:t>
            </w:r>
          </w:p>
          <w:p w:rsidR="008423E4" w:rsidRDefault="00AD24B4" w:rsidP="004B647E"/>
          <w:p w:rsidR="008423E4" w:rsidRDefault="00AD24B4" w:rsidP="004B647E">
            <w:pPr>
              <w:shd w:val="clear" w:color="auto" w:fill="FFFFFF"/>
              <w:jc w:val="both"/>
            </w:pPr>
            <w:r>
              <w:rPr>
                <w:color w:val="000000"/>
              </w:rPr>
              <w:t>Observers contend that</w:t>
            </w:r>
            <w:r>
              <w:rPr>
                <w:color w:val="000000"/>
              </w:rPr>
              <w:t xml:space="preserve"> </w:t>
            </w:r>
            <w:r>
              <w:rPr>
                <w:color w:val="000000"/>
              </w:rPr>
              <w:t xml:space="preserve">there is </w:t>
            </w:r>
            <w:r>
              <w:rPr>
                <w:color w:val="000000"/>
              </w:rPr>
              <w:t xml:space="preserve">unnecessary </w:t>
            </w:r>
            <w:r>
              <w:rPr>
                <w:color w:val="000000"/>
              </w:rPr>
              <w:t xml:space="preserve">taxpayer confusion regarding </w:t>
            </w:r>
            <w:r>
              <w:rPr>
                <w:color w:val="000000"/>
              </w:rPr>
              <w:t xml:space="preserve">the </w:t>
            </w:r>
            <w:r>
              <w:rPr>
                <w:color w:val="000000"/>
              </w:rPr>
              <w:t xml:space="preserve">deadlines </w:t>
            </w:r>
            <w:r>
              <w:rPr>
                <w:color w:val="000000"/>
              </w:rPr>
              <w:t xml:space="preserve">for </w:t>
            </w:r>
            <w:r>
              <w:rPr>
                <w:color w:val="000000"/>
              </w:rPr>
              <w:t>the performance of</w:t>
            </w:r>
            <w:r>
              <w:rPr>
                <w:color w:val="000000"/>
              </w:rPr>
              <w:t xml:space="preserve"> various functions in connection with property taxes</w:t>
            </w:r>
            <w:r>
              <w:rPr>
                <w:color w:val="000000"/>
              </w:rPr>
              <w:t>.</w:t>
            </w:r>
            <w:r>
              <w:rPr>
                <w:color w:val="000000"/>
              </w:rPr>
              <w:t xml:space="preserve"> </w:t>
            </w:r>
            <w:r>
              <w:t>C.S.</w:t>
            </w:r>
            <w:r w:rsidRPr="009E53CB">
              <w:t>H</w:t>
            </w:r>
            <w:r>
              <w:t>.</w:t>
            </w:r>
            <w:r w:rsidRPr="009E53CB">
              <w:t>B</w:t>
            </w:r>
            <w:r>
              <w:t>.</w:t>
            </w:r>
            <w:r w:rsidRPr="009E53CB">
              <w:t xml:space="preserve"> 2228 </w:t>
            </w:r>
            <w:r>
              <w:t xml:space="preserve">seeks to make </w:t>
            </w:r>
            <w:r>
              <w:t xml:space="preserve">the </w:t>
            </w:r>
            <w:r>
              <w:t>property tax process more efficient and streamlined for taxpayers by</w:t>
            </w:r>
            <w:r w:rsidRPr="009E53CB">
              <w:t xml:space="preserve"> chang</w:t>
            </w:r>
            <w:r>
              <w:t>ing</w:t>
            </w:r>
            <w:r w:rsidRPr="009E53CB">
              <w:t xml:space="preserve"> deadlines</w:t>
            </w:r>
            <w:r>
              <w:t xml:space="preserve"> for </w:t>
            </w:r>
            <w:r>
              <w:t>taking</w:t>
            </w:r>
            <w:r>
              <w:t xml:space="preserve"> certain actions in connection with that process</w:t>
            </w:r>
            <w:r>
              <w:t>.</w:t>
            </w:r>
          </w:p>
          <w:p w:rsidR="00E05A9F" w:rsidRPr="00E26B13" w:rsidRDefault="00AD24B4" w:rsidP="004B647E">
            <w:pPr>
              <w:shd w:val="clear" w:color="auto" w:fill="FFFFFF"/>
              <w:jc w:val="both"/>
              <w:rPr>
                <w:b/>
              </w:rPr>
            </w:pPr>
          </w:p>
        </w:tc>
      </w:tr>
      <w:tr w:rsidR="00523C41" w:rsidTr="00655C6B">
        <w:tc>
          <w:tcPr>
            <w:tcW w:w="9582" w:type="dxa"/>
          </w:tcPr>
          <w:p w:rsidR="0017725B" w:rsidRDefault="00AD24B4" w:rsidP="004B647E">
            <w:pPr>
              <w:rPr>
                <w:b/>
                <w:u w:val="single"/>
              </w:rPr>
            </w:pPr>
            <w:r>
              <w:rPr>
                <w:b/>
                <w:u w:val="single"/>
              </w:rPr>
              <w:t xml:space="preserve">CRIMINAL JUSTICE </w:t>
            </w:r>
            <w:r>
              <w:rPr>
                <w:b/>
                <w:u w:val="single"/>
              </w:rPr>
              <w:t>IMPACT</w:t>
            </w:r>
          </w:p>
          <w:p w:rsidR="0017725B" w:rsidRDefault="00AD24B4" w:rsidP="004B647E">
            <w:pPr>
              <w:rPr>
                <w:b/>
                <w:u w:val="single"/>
              </w:rPr>
            </w:pPr>
          </w:p>
          <w:p w:rsidR="00A62157" w:rsidRPr="00A62157" w:rsidRDefault="00AD24B4" w:rsidP="004B647E">
            <w:pPr>
              <w:jc w:val="both"/>
            </w:pPr>
            <w:r>
              <w:t>It is the committee's opinion that this bill does not expressly create a criminal offense, increase the punishment for an existing criminal offense or category of offenses, or change the eligibility of a person for community supervision, parole, or</w:t>
            </w:r>
            <w:r>
              <w:t xml:space="preserve"> mandatory supervision.</w:t>
            </w:r>
          </w:p>
          <w:p w:rsidR="0017725B" w:rsidRPr="0017725B" w:rsidRDefault="00AD24B4" w:rsidP="004B647E">
            <w:pPr>
              <w:rPr>
                <w:b/>
                <w:u w:val="single"/>
              </w:rPr>
            </w:pPr>
          </w:p>
        </w:tc>
      </w:tr>
      <w:tr w:rsidR="00523C41" w:rsidTr="00655C6B">
        <w:tc>
          <w:tcPr>
            <w:tcW w:w="9582" w:type="dxa"/>
          </w:tcPr>
          <w:p w:rsidR="008423E4" w:rsidRPr="00A8133F" w:rsidRDefault="00AD24B4" w:rsidP="004B647E">
            <w:pPr>
              <w:rPr>
                <w:b/>
              </w:rPr>
            </w:pPr>
            <w:r w:rsidRPr="009C1E9A">
              <w:rPr>
                <w:b/>
                <w:u w:val="single"/>
              </w:rPr>
              <w:t>RULEMAKING AUTHORITY</w:t>
            </w:r>
            <w:r>
              <w:rPr>
                <w:b/>
              </w:rPr>
              <w:t xml:space="preserve"> </w:t>
            </w:r>
          </w:p>
          <w:p w:rsidR="008423E4" w:rsidRDefault="00AD24B4" w:rsidP="004B647E"/>
          <w:p w:rsidR="00A62157" w:rsidRDefault="00AD24B4" w:rsidP="004B647E">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AD24B4" w:rsidP="004B647E">
            <w:pPr>
              <w:rPr>
                <w:b/>
              </w:rPr>
            </w:pPr>
          </w:p>
        </w:tc>
      </w:tr>
      <w:tr w:rsidR="00523C41" w:rsidTr="00655C6B">
        <w:tc>
          <w:tcPr>
            <w:tcW w:w="9582" w:type="dxa"/>
          </w:tcPr>
          <w:p w:rsidR="008423E4" w:rsidRPr="00A8133F" w:rsidRDefault="00AD24B4" w:rsidP="004B647E">
            <w:pPr>
              <w:rPr>
                <w:b/>
              </w:rPr>
            </w:pPr>
            <w:r w:rsidRPr="009C1E9A">
              <w:rPr>
                <w:b/>
                <w:u w:val="single"/>
              </w:rPr>
              <w:t>ANALYSIS</w:t>
            </w:r>
            <w:r>
              <w:rPr>
                <w:b/>
              </w:rPr>
              <w:t xml:space="preserve"> </w:t>
            </w:r>
          </w:p>
          <w:p w:rsidR="008423E4" w:rsidRDefault="00AD24B4" w:rsidP="004B647E"/>
          <w:p w:rsidR="008423E4" w:rsidRDefault="00AD24B4" w:rsidP="004B647E">
            <w:pPr>
              <w:pStyle w:val="Header"/>
              <w:tabs>
                <w:tab w:val="clear" w:pos="4320"/>
                <w:tab w:val="clear" w:pos="8640"/>
              </w:tabs>
              <w:jc w:val="both"/>
            </w:pPr>
            <w:r>
              <w:t>C.S.</w:t>
            </w:r>
            <w:r>
              <w:t xml:space="preserve">H.B. 2228 amends the Tax </w:t>
            </w:r>
            <w:r>
              <w:t>Code to</w:t>
            </w:r>
            <w:r>
              <w:t xml:space="preserve"> change </w:t>
            </w:r>
            <w:r>
              <w:t xml:space="preserve">the </w:t>
            </w:r>
            <w:r>
              <w:t>deadline by which</w:t>
            </w:r>
            <w:r>
              <w:t xml:space="preserve"> </w:t>
            </w:r>
            <w:r>
              <w:t xml:space="preserve">a late application for </w:t>
            </w:r>
            <w:r>
              <w:t xml:space="preserve">an exemption </w:t>
            </w:r>
            <w:r>
              <w:t xml:space="preserve">from taxation </w:t>
            </w:r>
            <w:r>
              <w:t xml:space="preserve">for freeport goods </w:t>
            </w:r>
            <w:r>
              <w:t xml:space="preserve">must be </w:t>
            </w:r>
            <w:r>
              <w:t>filed</w:t>
            </w:r>
            <w:r>
              <w:t xml:space="preserve"> in order for the chief appraiser to be required to accept and approve or deny the application </w:t>
            </w:r>
            <w:r>
              <w:t xml:space="preserve">from before the date the appraisal review </w:t>
            </w:r>
            <w:r>
              <w:t>board approves the appraisal records to not later than</w:t>
            </w:r>
            <w:r>
              <w:t xml:space="preserve"> June 15</w:t>
            </w:r>
            <w:r>
              <w:t>.</w:t>
            </w:r>
            <w:r>
              <w:t xml:space="preserve"> </w:t>
            </w:r>
          </w:p>
          <w:p w:rsidR="00F9271B" w:rsidRDefault="00AD24B4" w:rsidP="004B647E">
            <w:pPr>
              <w:pStyle w:val="Header"/>
              <w:tabs>
                <w:tab w:val="clear" w:pos="4320"/>
                <w:tab w:val="clear" w:pos="8640"/>
              </w:tabs>
              <w:jc w:val="both"/>
            </w:pPr>
          </w:p>
          <w:p w:rsidR="00F9271B" w:rsidRDefault="00AD24B4" w:rsidP="004B647E">
            <w:pPr>
              <w:pStyle w:val="Header"/>
              <w:tabs>
                <w:tab w:val="clear" w:pos="4320"/>
                <w:tab w:val="clear" w:pos="8640"/>
              </w:tabs>
              <w:jc w:val="both"/>
            </w:pPr>
            <w:r>
              <w:t xml:space="preserve">C.S.H.B. 2228 changes </w:t>
            </w:r>
            <w:r>
              <w:t xml:space="preserve">the application deadline for filing a completed application form for the allocation of a portion of the fair market value of certain taxable items to the state </w:t>
            </w:r>
            <w:r>
              <w:t>from May</w:t>
            </w:r>
            <w:r>
              <w:t xml:space="preserve"> 1 to April 1</w:t>
            </w:r>
            <w:r>
              <w:t>.</w:t>
            </w:r>
            <w:r>
              <w:t xml:space="preserve"> The bill c</w:t>
            </w:r>
            <w:r>
              <w:t xml:space="preserve">hanges </w:t>
            </w:r>
            <w:r>
              <w:t xml:space="preserve">the filing deadline for </w:t>
            </w:r>
            <w:r>
              <w:t xml:space="preserve">an </w:t>
            </w:r>
            <w:r>
              <w:t xml:space="preserve">allocation application form </w:t>
            </w:r>
            <w:r>
              <w:t xml:space="preserve">for property not on the appraisal roll in the preceding year </w:t>
            </w:r>
            <w:r>
              <w:t xml:space="preserve">from the 45th day </w:t>
            </w:r>
            <w:r>
              <w:t xml:space="preserve">after the date of receipt of the notice of appraised value </w:t>
            </w:r>
            <w:r>
              <w:t>to the 30th day</w:t>
            </w:r>
            <w:r>
              <w:t xml:space="preserve"> after th</w:t>
            </w:r>
            <w:r>
              <w:t>at</w:t>
            </w:r>
            <w:r>
              <w:t xml:space="preserve"> date</w:t>
            </w:r>
            <w:r>
              <w:t>.</w:t>
            </w:r>
            <w:r>
              <w:t xml:space="preserve"> The bill </w:t>
            </w:r>
            <w:r>
              <w:t xml:space="preserve">changes </w:t>
            </w:r>
            <w:r>
              <w:t xml:space="preserve">from a period not to exceed 60 days to a period not to exceed 30 days </w:t>
            </w:r>
            <w:r>
              <w:t xml:space="preserve">the period </w:t>
            </w:r>
            <w:r>
              <w:t xml:space="preserve">by which </w:t>
            </w:r>
            <w:r>
              <w:t xml:space="preserve">the chief appraiser, for good cause shown, is required to extend </w:t>
            </w:r>
            <w:r>
              <w:t xml:space="preserve">the allocation application form </w:t>
            </w:r>
            <w:r>
              <w:t xml:space="preserve">filing </w:t>
            </w:r>
            <w:r>
              <w:t>deadline.</w:t>
            </w:r>
            <w:r>
              <w:t xml:space="preserve"> </w:t>
            </w:r>
          </w:p>
          <w:p w:rsidR="00886624" w:rsidRDefault="00AD24B4" w:rsidP="004B647E">
            <w:pPr>
              <w:pStyle w:val="Header"/>
              <w:jc w:val="both"/>
            </w:pPr>
          </w:p>
          <w:p w:rsidR="00886624" w:rsidRDefault="00AD24B4" w:rsidP="004B647E">
            <w:pPr>
              <w:pStyle w:val="Header"/>
              <w:jc w:val="both"/>
            </w:pPr>
            <w:r>
              <w:t>C.S.</w:t>
            </w:r>
            <w:r>
              <w:t>H.B. 2228</w:t>
            </w:r>
            <w:r>
              <w:t xml:space="preserve"> requires </w:t>
            </w:r>
            <w:r>
              <w:t>r</w:t>
            </w:r>
            <w:r>
              <w:t xml:space="preserve">endition statements and property reports for property located in an appraisal district in which one or more taxing units exempt property </w:t>
            </w:r>
            <w:r>
              <w:t>as freeport goods</w:t>
            </w:r>
            <w:r>
              <w:t xml:space="preserve"> </w:t>
            </w:r>
            <w:r>
              <w:t xml:space="preserve">to </w:t>
            </w:r>
            <w:r>
              <w:t xml:space="preserve">be delivered to the chief appraiser not later than April 1. </w:t>
            </w:r>
            <w:r>
              <w:t>The bill requires</w:t>
            </w:r>
            <w:r w:rsidRPr="00DE4A98">
              <w:t xml:space="preserve"> the chief appraiser</w:t>
            </w:r>
            <w:r>
              <w:t>,</w:t>
            </w:r>
            <w:r>
              <w:t xml:space="preserve"> o</w:t>
            </w:r>
            <w:r w:rsidRPr="00DE4A98">
              <w:t>n written request by the property owner</w:t>
            </w:r>
            <w:r>
              <w:t>,</w:t>
            </w:r>
            <w:r w:rsidRPr="00DE4A98">
              <w:t xml:space="preserve"> </w:t>
            </w:r>
            <w:r>
              <w:t xml:space="preserve">to extend that deadline </w:t>
            </w:r>
            <w:r w:rsidRPr="00DE4A98">
              <w:t>for filing a rendition stateme</w:t>
            </w:r>
            <w:r>
              <w:t xml:space="preserve">nt or property report to May 1 and authorizes the chief appraiser to </w:t>
            </w:r>
            <w:r w:rsidRPr="00DE4A98">
              <w:t>further extend the deadline an additional 15 days for good cause shown in writing by the p</w:t>
            </w:r>
            <w:r w:rsidRPr="00DE4A98">
              <w:t>roperty owner</w:t>
            </w:r>
            <w:r>
              <w:t xml:space="preserve">. </w:t>
            </w:r>
            <w:r>
              <w:t xml:space="preserve">The bill requires </w:t>
            </w:r>
            <w:r>
              <w:t>rendition statements and property reports for property regulated by the Public Utility Commission of Texas, the Railroad Commission of Texas, the federal Surface Transportation Board, or the Federal Energy Regulatory Commis</w:t>
            </w:r>
            <w:r>
              <w:t xml:space="preserve">sion </w:t>
            </w:r>
            <w:r>
              <w:t xml:space="preserve">to </w:t>
            </w:r>
            <w:r>
              <w:t xml:space="preserve">be delivered to the chief appraiser not later than April 30, except as provided by </w:t>
            </w:r>
            <w:r>
              <w:t>statutory provisions relating to rendition of property losing its exemption during the tax year</w:t>
            </w:r>
            <w:r>
              <w:t xml:space="preserve"> or for which an exemption application is denied</w:t>
            </w:r>
            <w:r>
              <w:t xml:space="preserve">. The </w:t>
            </w:r>
            <w:r>
              <w:t xml:space="preserve">bill authorizes </w:t>
            </w:r>
            <w:r>
              <w:t xml:space="preserve">the </w:t>
            </w:r>
            <w:r>
              <w:t xml:space="preserve">chief appraiser </w:t>
            </w:r>
            <w:r>
              <w:t xml:space="preserve">to </w:t>
            </w:r>
            <w:r>
              <w:t xml:space="preserve">extend the filing deadline 15 days for good cause </w:t>
            </w:r>
            <w:r>
              <w:t xml:space="preserve">shown in </w:t>
            </w:r>
            <w:r>
              <w:lastRenderedPageBreak/>
              <w:t xml:space="preserve">writing </w:t>
            </w:r>
            <w:r>
              <w:t>by the property owner.</w:t>
            </w:r>
            <w:r>
              <w:t xml:space="preserve"> </w:t>
            </w:r>
          </w:p>
          <w:p w:rsidR="0077526B" w:rsidRDefault="00AD24B4" w:rsidP="004B647E">
            <w:pPr>
              <w:pStyle w:val="Header"/>
              <w:jc w:val="both"/>
            </w:pPr>
          </w:p>
          <w:p w:rsidR="00B31AC3" w:rsidRDefault="00AD24B4" w:rsidP="004B647E">
            <w:pPr>
              <w:pStyle w:val="Header"/>
              <w:tabs>
                <w:tab w:val="clear" w:pos="4320"/>
                <w:tab w:val="clear" w:pos="8640"/>
              </w:tabs>
              <w:jc w:val="both"/>
            </w:pPr>
            <w:r>
              <w:t>C.S.</w:t>
            </w:r>
            <w:r>
              <w:t xml:space="preserve">H.B. 2228 changes </w:t>
            </w:r>
            <w:r>
              <w:t>the</w:t>
            </w:r>
            <w:r>
              <w:t xml:space="preserve"> date by which a</w:t>
            </w:r>
            <w:r w:rsidRPr="00121147">
              <w:t xml:space="preserve"> property owner initiating </w:t>
            </w:r>
            <w:r>
              <w:t>a</w:t>
            </w:r>
            <w:r w:rsidRPr="00121147">
              <w:t xml:space="preserve"> </w:t>
            </w:r>
            <w:r>
              <w:t xml:space="preserve">taxpayer </w:t>
            </w:r>
            <w:r w:rsidRPr="00121147">
              <w:t>protest must file a written notice of the protest with the app</w:t>
            </w:r>
            <w:r w:rsidRPr="00121147">
              <w:t>raisal review board having authority to hear the matter protested</w:t>
            </w:r>
            <w:r>
              <w:t xml:space="preserve"> to be entitled to a hearing and determination of a</w:t>
            </w:r>
            <w:r>
              <w:t xml:space="preserve"> protest </w:t>
            </w:r>
            <w:r>
              <w:t>from before May 1 or not later than the 30th day after the date that notice to the property owner was delivered to the owner</w:t>
            </w:r>
            <w:r>
              <w:t>, which</w:t>
            </w:r>
            <w:r>
              <w:t xml:space="preserve">ever is </w:t>
            </w:r>
            <w:r>
              <w:t>la</w:t>
            </w:r>
            <w:r>
              <w:t>ter,</w:t>
            </w:r>
            <w:r>
              <w:t xml:space="preserve"> to before May 15 or not later than the 30th day after the date that notice to the property owner was delivered to the owner</w:t>
            </w:r>
            <w:r>
              <w:t>, whichever is later</w:t>
            </w:r>
            <w:r>
              <w:t xml:space="preserve">. </w:t>
            </w:r>
            <w:r>
              <w:t xml:space="preserve">The bill </w:t>
            </w:r>
            <w:r>
              <w:t xml:space="preserve">removes </w:t>
            </w:r>
            <w:r>
              <w:t>language limiting that deadline to</w:t>
            </w:r>
            <w:r>
              <w:t xml:space="preserve"> a</w:t>
            </w:r>
            <w:r w:rsidRPr="00121147">
              <w:t xml:space="preserve"> property </w:t>
            </w:r>
            <w:r>
              <w:t xml:space="preserve">that </w:t>
            </w:r>
            <w:r w:rsidRPr="00121147">
              <w:t>is a single-family</w:t>
            </w:r>
            <w:r>
              <w:t xml:space="preserve"> residence that qualifies for a</w:t>
            </w:r>
            <w:r w:rsidRPr="00121147">
              <w:t xml:space="preserve"> </w:t>
            </w:r>
            <w:r>
              <w:t xml:space="preserve">residence homestead </w:t>
            </w:r>
            <w:r w:rsidRPr="00121147">
              <w:t>exemption</w:t>
            </w:r>
            <w:r>
              <w:t xml:space="preserve"> </w:t>
            </w:r>
            <w:r>
              <w:t>and removes</w:t>
            </w:r>
            <w:r>
              <w:t xml:space="preserve"> </w:t>
            </w:r>
            <w:r>
              <w:t xml:space="preserve">the </w:t>
            </w:r>
            <w:r>
              <w:t>deadline</w:t>
            </w:r>
            <w:r>
              <w:t xml:space="preserve"> imposed on </w:t>
            </w:r>
            <w:r>
              <w:t xml:space="preserve">such notice in connection with </w:t>
            </w:r>
            <w:r>
              <w:t>any other property.</w:t>
            </w:r>
          </w:p>
          <w:p w:rsidR="00DA0A8D" w:rsidRDefault="00AD24B4" w:rsidP="004B647E">
            <w:pPr>
              <w:pStyle w:val="Header"/>
              <w:tabs>
                <w:tab w:val="clear" w:pos="4320"/>
                <w:tab w:val="clear" w:pos="8640"/>
              </w:tabs>
              <w:jc w:val="both"/>
            </w:pPr>
          </w:p>
          <w:p w:rsidR="00B31AC3" w:rsidRDefault="00AD24B4" w:rsidP="004B647E">
            <w:pPr>
              <w:pStyle w:val="Header"/>
              <w:tabs>
                <w:tab w:val="clear" w:pos="4320"/>
                <w:tab w:val="clear" w:pos="8640"/>
              </w:tabs>
              <w:jc w:val="both"/>
            </w:pPr>
            <w:r>
              <w:t>C.S.</w:t>
            </w:r>
            <w:r>
              <w:t>H.B. 2228 repeals</w:t>
            </w:r>
            <w:r w:rsidRPr="00886624">
              <w:t xml:space="preserve"> Section 4</w:t>
            </w:r>
            <w:r>
              <w:t>1.44(b-1), Tax Code</w:t>
            </w:r>
            <w:r>
              <w:t xml:space="preserve">, entitling the owner of a single-family residence that </w:t>
            </w:r>
            <w:r>
              <w:t>qualifies for a homestead tax exemption who files a notice of taxpayer protest after the deadline but before the appraisal review board approves the appraisal records to a hearing and determination of the protest if the property owner files the notice befo</w:t>
            </w:r>
            <w:r>
              <w:t>re June 1</w:t>
            </w:r>
            <w:r w:rsidRPr="00886624">
              <w:t>.</w:t>
            </w:r>
            <w:r>
              <w:t xml:space="preserve"> </w:t>
            </w:r>
          </w:p>
          <w:p w:rsidR="00886624" w:rsidRPr="00DF03BF" w:rsidRDefault="00AD24B4" w:rsidP="004B647E">
            <w:pPr>
              <w:pStyle w:val="Header"/>
              <w:tabs>
                <w:tab w:val="clear" w:pos="4320"/>
                <w:tab w:val="clear" w:pos="8640"/>
              </w:tabs>
              <w:jc w:val="both"/>
            </w:pPr>
            <w:r>
              <w:t xml:space="preserve">  </w:t>
            </w:r>
          </w:p>
        </w:tc>
      </w:tr>
      <w:tr w:rsidR="00523C41" w:rsidTr="00655C6B">
        <w:tc>
          <w:tcPr>
            <w:tcW w:w="9582" w:type="dxa"/>
          </w:tcPr>
          <w:p w:rsidR="008423E4" w:rsidRPr="00A8133F" w:rsidRDefault="00AD24B4" w:rsidP="004B647E">
            <w:pPr>
              <w:rPr>
                <w:b/>
              </w:rPr>
            </w:pPr>
            <w:r w:rsidRPr="009C1E9A">
              <w:rPr>
                <w:b/>
                <w:u w:val="single"/>
              </w:rPr>
              <w:lastRenderedPageBreak/>
              <w:t>EFFECTIVE DATE</w:t>
            </w:r>
            <w:r>
              <w:rPr>
                <w:b/>
              </w:rPr>
              <w:t xml:space="preserve"> </w:t>
            </w:r>
          </w:p>
          <w:p w:rsidR="008423E4" w:rsidRDefault="00AD24B4" w:rsidP="004B647E"/>
          <w:p w:rsidR="008423E4" w:rsidRDefault="00AD24B4" w:rsidP="004B647E">
            <w:pPr>
              <w:pStyle w:val="Header"/>
              <w:tabs>
                <w:tab w:val="clear" w:pos="4320"/>
                <w:tab w:val="clear" w:pos="8640"/>
              </w:tabs>
              <w:jc w:val="both"/>
            </w:pPr>
            <w:r>
              <w:t>January 1, 2018.</w:t>
            </w:r>
          </w:p>
          <w:p w:rsidR="008423E4" w:rsidRPr="00233FDB" w:rsidRDefault="00AD24B4" w:rsidP="004B647E">
            <w:pPr>
              <w:rPr>
                <w:b/>
              </w:rPr>
            </w:pPr>
          </w:p>
        </w:tc>
      </w:tr>
      <w:tr w:rsidR="00523C41" w:rsidTr="00655C6B">
        <w:tc>
          <w:tcPr>
            <w:tcW w:w="9582" w:type="dxa"/>
          </w:tcPr>
          <w:p w:rsidR="00655C6B" w:rsidRDefault="00AD24B4" w:rsidP="004B647E">
            <w:pPr>
              <w:jc w:val="both"/>
              <w:rPr>
                <w:b/>
                <w:u w:val="single"/>
              </w:rPr>
            </w:pPr>
            <w:r>
              <w:rPr>
                <w:b/>
                <w:u w:val="single"/>
              </w:rPr>
              <w:t>COMPARISON OF ORIGINAL AND SUBSTITUTE</w:t>
            </w:r>
          </w:p>
          <w:p w:rsidR="008B1183" w:rsidRDefault="00AD24B4" w:rsidP="004B647E">
            <w:pPr>
              <w:jc w:val="both"/>
            </w:pPr>
          </w:p>
          <w:p w:rsidR="008B1183" w:rsidRDefault="00AD24B4" w:rsidP="004B647E">
            <w:pPr>
              <w:jc w:val="both"/>
            </w:pPr>
            <w:r>
              <w:t>While C.S.H.B. 2228 may differ from the original in minor or nonsubstantive</w:t>
            </w:r>
            <w:r>
              <w:t xml:space="preserve"> ways, the following comparison is organized and formatted in a manner that indicates the substantial differences between the introduced and committee substitute versions of the bill.</w:t>
            </w:r>
          </w:p>
          <w:p w:rsidR="008B1183" w:rsidRPr="008B1183" w:rsidRDefault="00AD24B4" w:rsidP="004B647E">
            <w:pPr>
              <w:jc w:val="both"/>
            </w:pPr>
          </w:p>
        </w:tc>
      </w:tr>
      <w:tr w:rsidR="00523C41" w:rsidTr="00655C6B">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523C41" w:rsidTr="00655C6B">
              <w:trPr>
                <w:cantSplit/>
                <w:tblHeader/>
              </w:trPr>
              <w:tc>
                <w:tcPr>
                  <w:tcW w:w="4673" w:type="dxa"/>
                  <w:tcMar>
                    <w:bottom w:w="188" w:type="dxa"/>
                  </w:tcMar>
                </w:tcPr>
                <w:p w:rsidR="00655C6B" w:rsidRDefault="00AD24B4" w:rsidP="004B647E">
                  <w:pPr>
                    <w:jc w:val="center"/>
                  </w:pPr>
                  <w:r>
                    <w:t>INTRODUCED</w:t>
                  </w:r>
                </w:p>
              </w:tc>
              <w:tc>
                <w:tcPr>
                  <w:tcW w:w="4673" w:type="dxa"/>
                  <w:tcMar>
                    <w:bottom w:w="188" w:type="dxa"/>
                  </w:tcMar>
                </w:tcPr>
                <w:p w:rsidR="00655C6B" w:rsidRDefault="00AD24B4" w:rsidP="004B647E">
                  <w:pPr>
                    <w:jc w:val="center"/>
                  </w:pPr>
                  <w:r>
                    <w:t>HOUSE COMMITTEE SUBSTITUTE</w:t>
                  </w:r>
                </w:p>
              </w:tc>
            </w:tr>
            <w:tr w:rsidR="00523C41" w:rsidTr="00655C6B">
              <w:tc>
                <w:tcPr>
                  <w:tcW w:w="4673" w:type="dxa"/>
                  <w:tcMar>
                    <w:right w:w="360" w:type="dxa"/>
                  </w:tcMar>
                </w:tcPr>
                <w:p w:rsidR="00655C6B" w:rsidRDefault="00AD24B4" w:rsidP="004B647E">
                  <w:pPr>
                    <w:jc w:val="both"/>
                  </w:pPr>
                  <w:r>
                    <w:t>SECTION 1.  Section 11.4391(a),</w:t>
                  </w:r>
                  <w:r>
                    <w:t xml:space="preserve"> Tax Code, is amended to read as follows:</w:t>
                  </w:r>
                </w:p>
                <w:p w:rsidR="00655C6B" w:rsidRDefault="00AD24B4" w:rsidP="004B647E">
                  <w:pPr>
                    <w:jc w:val="both"/>
                  </w:pPr>
                  <w:r>
                    <w:t xml:space="preserve">(a)  The chief appraiser shall accept and approve or deny an application for an exemption for freeport goods under Section 11.251 after the deadline for filing it has passed if it is filed </w:t>
                  </w:r>
                  <w:r>
                    <w:rPr>
                      <w:u w:val="single"/>
                    </w:rPr>
                    <w:t xml:space="preserve">not later than </w:t>
                  </w:r>
                  <w:r w:rsidRPr="009D625C">
                    <w:rPr>
                      <w:highlight w:val="lightGray"/>
                      <w:u w:val="single"/>
                    </w:rPr>
                    <w:t>June 1</w:t>
                  </w:r>
                  <w:r>
                    <w:t xml:space="preserve"> [</w:t>
                  </w:r>
                  <w:r>
                    <w:rPr>
                      <w:strike/>
                    </w:rPr>
                    <w:t>be</w:t>
                  </w:r>
                  <w:r>
                    <w:rPr>
                      <w:strike/>
                    </w:rPr>
                    <w:t>fore the date the appraisal review board approves the appraisal records</w:t>
                  </w:r>
                  <w:r>
                    <w:t>].</w:t>
                  </w:r>
                </w:p>
              </w:tc>
              <w:tc>
                <w:tcPr>
                  <w:tcW w:w="4673" w:type="dxa"/>
                  <w:tcMar>
                    <w:left w:w="360" w:type="dxa"/>
                  </w:tcMar>
                </w:tcPr>
                <w:p w:rsidR="00655C6B" w:rsidRDefault="00AD24B4" w:rsidP="004B647E">
                  <w:pPr>
                    <w:jc w:val="both"/>
                  </w:pPr>
                  <w:r>
                    <w:t>SECTION 1.  Section 11.4391(a), Tax Code, is amended to read as follows:</w:t>
                  </w:r>
                </w:p>
                <w:p w:rsidR="00655C6B" w:rsidRDefault="00AD24B4" w:rsidP="004B647E">
                  <w:pPr>
                    <w:jc w:val="both"/>
                  </w:pPr>
                  <w:r>
                    <w:t>(a)  The chief appraiser shall accept and approve or deny an application for an exemption for freeport</w:t>
                  </w:r>
                  <w:r>
                    <w:t xml:space="preserve"> goods under Section 11.251 after the deadline for filing it has passed if it is filed </w:t>
                  </w:r>
                  <w:r>
                    <w:rPr>
                      <w:u w:val="single"/>
                    </w:rPr>
                    <w:t xml:space="preserve">not later than </w:t>
                  </w:r>
                  <w:r w:rsidRPr="009D625C">
                    <w:rPr>
                      <w:highlight w:val="lightGray"/>
                      <w:u w:val="single"/>
                    </w:rPr>
                    <w:t>June 15</w:t>
                  </w:r>
                  <w:r>
                    <w:t xml:space="preserve"> [</w:t>
                  </w:r>
                  <w:r>
                    <w:rPr>
                      <w:strike/>
                    </w:rPr>
                    <w:t>before the date the appraisal review board approves the appraisal records</w:t>
                  </w:r>
                  <w:r>
                    <w:t>].</w:t>
                  </w:r>
                </w:p>
              </w:tc>
            </w:tr>
            <w:tr w:rsidR="00523C41" w:rsidTr="00655C6B">
              <w:tc>
                <w:tcPr>
                  <w:tcW w:w="4673" w:type="dxa"/>
                  <w:tcMar>
                    <w:right w:w="360" w:type="dxa"/>
                  </w:tcMar>
                </w:tcPr>
                <w:p w:rsidR="00655C6B" w:rsidRDefault="00AD24B4" w:rsidP="004B647E">
                  <w:pPr>
                    <w:jc w:val="both"/>
                  </w:pPr>
                  <w:r>
                    <w:t>SECTION 2.  Section</w:t>
                  </w:r>
                  <w:r>
                    <w:t xml:space="preserve"> 21.09(b), Tax Code, is amended.</w:t>
                  </w:r>
                </w:p>
              </w:tc>
              <w:tc>
                <w:tcPr>
                  <w:tcW w:w="4673" w:type="dxa"/>
                  <w:tcMar>
                    <w:left w:w="360" w:type="dxa"/>
                  </w:tcMar>
                </w:tcPr>
                <w:p w:rsidR="00655C6B" w:rsidRDefault="00AD24B4" w:rsidP="004B647E">
                  <w:pPr>
                    <w:jc w:val="both"/>
                  </w:pPr>
                  <w:r>
                    <w:t xml:space="preserve">SECTION 2. Same </w:t>
                  </w:r>
                  <w:r>
                    <w:t>as introduced version.</w:t>
                  </w:r>
                </w:p>
                <w:p w:rsidR="00655C6B" w:rsidRDefault="00AD24B4" w:rsidP="004B647E">
                  <w:pPr>
                    <w:jc w:val="both"/>
                  </w:pPr>
                </w:p>
              </w:tc>
            </w:tr>
            <w:tr w:rsidR="00523C41" w:rsidTr="00655C6B">
              <w:tc>
                <w:tcPr>
                  <w:tcW w:w="4673" w:type="dxa"/>
                  <w:tcMar>
                    <w:right w:w="360" w:type="dxa"/>
                  </w:tcMar>
                </w:tcPr>
                <w:p w:rsidR="00655C6B" w:rsidRDefault="00AD24B4" w:rsidP="004B647E">
                  <w:pPr>
                    <w:jc w:val="both"/>
                  </w:pPr>
                  <w:r>
                    <w:t>SECTION 3.  Section 22.23, Tax Code, is amended by adding Subsections (c) and (d) to read as follows:</w:t>
                  </w:r>
                </w:p>
                <w:p w:rsidR="00655C6B" w:rsidRDefault="00AD24B4" w:rsidP="004B647E">
                  <w:pPr>
                    <w:jc w:val="both"/>
                  </w:pPr>
                  <w:r>
                    <w:rPr>
                      <w:u w:val="single"/>
                    </w:rPr>
                    <w:t>(c)  Notwithstanding Subsections (a) and (b), rendition statements and property reports for property located in an appraisal dist</w:t>
                  </w:r>
                  <w:r>
                    <w:rPr>
                      <w:u w:val="single"/>
                    </w:rPr>
                    <w:t xml:space="preserve">rict in which one or more taxing units exempt property under Section 11.251 must be delivered to the chief appraiser not later than April 1. </w:t>
                  </w:r>
                  <w:r w:rsidRPr="00344A7D">
                    <w:rPr>
                      <w:u w:val="single"/>
                    </w:rPr>
                    <w:t xml:space="preserve">The chief appraiser </w:t>
                  </w:r>
                  <w:r w:rsidRPr="009D625C">
                    <w:rPr>
                      <w:highlight w:val="lightGray"/>
                      <w:u w:val="single"/>
                    </w:rPr>
                    <w:t xml:space="preserve">may </w:t>
                  </w:r>
                  <w:r w:rsidRPr="00344A7D">
                    <w:rPr>
                      <w:u w:val="single"/>
                    </w:rPr>
                    <w:t xml:space="preserve">extend the </w:t>
                  </w:r>
                  <w:r w:rsidRPr="009D625C">
                    <w:rPr>
                      <w:highlight w:val="lightGray"/>
                      <w:u w:val="single"/>
                    </w:rPr>
                    <w:t>filing</w:t>
                  </w:r>
                  <w:r w:rsidRPr="00344A7D">
                    <w:rPr>
                      <w:u w:val="single"/>
                    </w:rPr>
                    <w:t xml:space="preserve"> deadline to </w:t>
                  </w:r>
                  <w:r w:rsidRPr="009D625C">
                    <w:rPr>
                      <w:highlight w:val="lightGray"/>
                      <w:u w:val="single"/>
                    </w:rPr>
                    <w:t xml:space="preserve">not later than </w:t>
                  </w:r>
                  <w:r w:rsidRPr="00344A7D">
                    <w:rPr>
                      <w:u w:val="single"/>
                    </w:rPr>
                    <w:t xml:space="preserve">May 1 </w:t>
                  </w:r>
                  <w:r w:rsidRPr="009D625C">
                    <w:rPr>
                      <w:highlight w:val="lightGray"/>
                      <w:u w:val="single"/>
                    </w:rPr>
                    <w:t>for good cause</w:t>
                  </w:r>
                  <w:r w:rsidRPr="00344A7D">
                    <w:rPr>
                      <w:u w:val="single"/>
                    </w:rPr>
                    <w:t xml:space="preserve"> on written request by the</w:t>
                  </w:r>
                  <w:r w:rsidRPr="00344A7D">
                    <w:rPr>
                      <w:u w:val="single"/>
                    </w:rPr>
                    <w:t xml:space="preserve"> property owner.</w:t>
                  </w:r>
                </w:p>
                <w:p w:rsidR="00FA0A14" w:rsidRDefault="00AD24B4" w:rsidP="004B647E">
                  <w:pPr>
                    <w:jc w:val="both"/>
                    <w:rPr>
                      <w:u w:val="single"/>
                    </w:rPr>
                  </w:pPr>
                </w:p>
                <w:p w:rsidR="00FA0A14" w:rsidRDefault="00AD24B4" w:rsidP="004B647E">
                  <w:pPr>
                    <w:jc w:val="both"/>
                    <w:rPr>
                      <w:u w:val="single"/>
                    </w:rPr>
                  </w:pPr>
                </w:p>
                <w:p w:rsidR="00FA0A14" w:rsidRDefault="00AD24B4" w:rsidP="004B647E">
                  <w:pPr>
                    <w:jc w:val="both"/>
                    <w:rPr>
                      <w:u w:val="single"/>
                    </w:rPr>
                  </w:pPr>
                </w:p>
                <w:p w:rsidR="00FA0A14" w:rsidRDefault="00AD24B4" w:rsidP="004B647E">
                  <w:pPr>
                    <w:jc w:val="both"/>
                    <w:rPr>
                      <w:u w:val="single"/>
                    </w:rPr>
                  </w:pPr>
                </w:p>
                <w:p w:rsidR="00655C6B" w:rsidRDefault="00AD24B4" w:rsidP="004B647E">
                  <w:pPr>
                    <w:jc w:val="both"/>
                  </w:pPr>
                  <w:r>
                    <w:rPr>
                      <w:u w:val="single"/>
                    </w:rPr>
                    <w:t xml:space="preserve">(d)  Notwithstanding any other provision of this section, rendition statements and property reports for property regulated by the Public Utility Commission of Texas, the Railroad Commission of Texas, the federal Surface Transportation </w:t>
                  </w:r>
                  <w:r>
                    <w:rPr>
                      <w:u w:val="single"/>
                    </w:rPr>
                    <w:t xml:space="preserve">Board, or the Federal Energy Regulatory Commission must be delivered to the chief appraiser not later than April 30, except as provided by Section 22.02. The chief appraiser may extend the filing deadline 15 days for good cause </w:t>
                  </w:r>
                  <w:r w:rsidRPr="00F63983">
                    <w:rPr>
                      <w:highlight w:val="lightGray"/>
                      <w:u w:val="single"/>
                    </w:rPr>
                    <w:t>on written req</w:t>
                  </w:r>
                  <w:r w:rsidRPr="003C7AAE">
                    <w:rPr>
                      <w:highlight w:val="lightGray"/>
                      <w:u w:val="single"/>
                    </w:rPr>
                    <w:t>uest</w:t>
                  </w:r>
                  <w:r>
                    <w:rPr>
                      <w:u w:val="single"/>
                    </w:rPr>
                    <w:t xml:space="preserve"> by the pr</w:t>
                  </w:r>
                  <w:r>
                    <w:rPr>
                      <w:u w:val="single"/>
                    </w:rPr>
                    <w:t>operty owner.</w:t>
                  </w:r>
                </w:p>
              </w:tc>
              <w:tc>
                <w:tcPr>
                  <w:tcW w:w="4673" w:type="dxa"/>
                  <w:tcMar>
                    <w:left w:w="360" w:type="dxa"/>
                  </w:tcMar>
                </w:tcPr>
                <w:p w:rsidR="00655C6B" w:rsidRDefault="00AD24B4" w:rsidP="004B647E">
                  <w:pPr>
                    <w:jc w:val="both"/>
                  </w:pPr>
                  <w:r>
                    <w:lastRenderedPageBreak/>
                    <w:t>SECTION 3.  Section 22.23, Tax Code, is amended by adding Subsections (c) and (d) to read as follows:</w:t>
                  </w:r>
                </w:p>
                <w:p w:rsidR="00655C6B" w:rsidRDefault="00AD24B4" w:rsidP="004B647E">
                  <w:pPr>
                    <w:jc w:val="both"/>
                  </w:pPr>
                  <w:r>
                    <w:rPr>
                      <w:u w:val="single"/>
                    </w:rPr>
                    <w:t>(c)  Notwithstanding Subsections (a) and (b), rendition statements and property reports for property located in an appraisal district in whi</w:t>
                  </w:r>
                  <w:r>
                    <w:rPr>
                      <w:u w:val="single"/>
                    </w:rPr>
                    <w:t xml:space="preserve">ch one or more taxing units exempt property under Section 11.251 must be delivered to the chief appraiser not later than April 1.  </w:t>
                  </w:r>
                  <w:r w:rsidRPr="00344A7D">
                    <w:rPr>
                      <w:u w:val="single"/>
                    </w:rPr>
                    <w:t xml:space="preserve">On written request by the property owner, the chief appraiser </w:t>
                  </w:r>
                  <w:r w:rsidRPr="009D625C">
                    <w:rPr>
                      <w:highlight w:val="lightGray"/>
                      <w:u w:val="single"/>
                    </w:rPr>
                    <w:t xml:space="preserve">shall </w:t>
                  </w:r>
                  <w:r w:rsidRPr="00344A7D">
                    <w:rPr>
                      <w:u w:val="single"/>
                    </w:rPr>
                    <w:t xml:space="preserve">extend the deadline </w:t>
                  </w:r>
                  <w:r w:rsidRPr="009D625C">
                    <w:rPr>
                      <w:highlight w:val="lightGray"/>
                      <w:u w:val="single"/>
                    </w:rPr>
                    <w:t>provided by this subsection for filin</w:t>
                  </w:r>
                  <w:r w:rsidRPr="009D625C">
                    <w:rPr>
                      <w:highlight w:val="lightGray"/>
                      <w:u w:val="single"/>
                    </w:rPr>
                    <w:t xml:space="preserve">g a rendition statement or </w:t>
                  </w:r>
                  <w:r w:rsidRPr="009D625C">
                    <w:rPr>
                      <w:highlight w:val="lightGray"/>
                      <w:u w:val="single"/>
                    </w:rPr>
                    <w:lastRenderedPageBreak/>
                    <w:t>property report</w:t>
                  </w:r>
                  <w:r w:rsidRPr="00344A7D">
                    <w:rPr>
                      <w:u w:val="single"/>
                    </w:rPr>
                    <w:t xml:space="preserve"> to May 1.  </w:t>
                  </w:r>
                  <w:r w:rsidRPr="009D625C">
                    <w:rPr>
                      <w:highlight w:val="lightGray"/>
                      <w:u w:val="single"/>
                    </w:rPr>
                    <w:t>The chief appraiser may further extend the deadline an additional 15 days for good cause shown in</w:t>
                  </w:r>
                  <w:r>
                    <w:rPr>
                      <w:u w:val="single"/>
                    </w:rPr>
                    <w:t xml:space="preserve"> </w:t>
                  </w:r>
                  <w:r w:rsidRPr="00FA0A14">
                    <w:rPr>
                      <w:highlight w:val="lightGray"/>
                      <w:u w:val="single"/>
                    </w:rPr>
                    <w:t>writing by the property owner.</w:t>
                  </w:r>
                </w:p>
                <w:p w:rsidR="00655C6B" w:rsidRDefault="00AD24B4" w:rsidP="004B647E">
                  <w:pPr>
                    <w:jc w:val="both"/>
                  </w:pPr>
                  <w:r>
                    <w:rPr>
                      <w:u w:val="single"/>
                    </w:rPr>
                    <w:t>(d)  Notwithstanding any other provision of this section, rendition state</w:t>
                  </w:r>
                  <w:r>
                    <w:rPr>
                      <w:u w:val="single"/>
                    </w:rPr>
                    <w:t>ments and property reports for property regulated by the Public Utility Commission of Texas, the Railroad Commission of Texas, the federal Surface Transportation Board, or the Federal Energy Regulatory Commission must be delivered to the chief appraiser no</w:t>
                  </w:r>
                  <w:r>
                    <w:rPr>
                      <w:u w:val="single"/>
                    </w:rPr>
                    <w:t xml:space="preserve">t later than April 30, except as provided by Section 22.02. The chief appraiser may extend the filing deadline 15 days for good cause </w:t>
                  </w:r>
                  <w:r w:rsidRPr="00F63983">
                    <w:rPr>
                      <w:highlight w:val="lightGray"/>
                      <w:u w:val="single"/>
                    </w:rPr>
                    <w:t>shown in writing</w:t>
                  </w:r>
                  <w:r>
                    <w:rPr>
                      <w:u w:val="single"/>
                    </w:rPr>
                    <w:t xml:space="preserve"> by the property owner.</w:t>
                  </w:r>
                </w:p>
              </w:tc>
            </w:tr>
            <w:tr w:rsidR="00523C41" w:rsidTr="00655C6B">
              <w:tc>
                <w:tcPr>
                  <w:tcW w:w="4673" w:type="dxa"/>
                  <w:tcMar>
                    <w:right w:w="360" w:type="dxa"/>
                  </w:tcMar>
                </w:tcPr>
                <w:p w:rsidR="00655C6B" w:rsidRDefault="00AD24B4" w:rsidP="004B647E">
                  <w:pPr>
                    <w:jc w:val="both"/>
                  </w:pPr>
                  <w:r>
                    <w:lastRenderedPageBreak/>
                    <w:t>SECTION 4.  Section</w:t>
                  </w:r>
                  <w:r>
                    <w:t xml:space="preserve"> 41.11(a), Tax Code, is amended.</w:t>
                  </w:r>
                </w:p>
              </w:tc>
              <w:tc>
                <w:tcPr>
                  <w:tcW w:w="4673" w:type="dxa"/>
                  <w:tcMar>
                    <w:left w:w="360" w:type="dxa"/>
                  </w:tcMar>
                </w:tcPr>
                <w:p w:rsidR="00655C6B" w:rsidRDefault="00AD24B4" w:rsidP="004B647E">
                  <w:pPr>
                    <w:jc w:val="both"/>
                  </w:pPr>
                  <w:r>
                    <w:t>SECTION 4. Same as introduced</w:t>
                  </w:r>
                  <w:r>
                    <w:t xml:space="preserve"> version.</w:t>
                  </w:r>
                </w:p>
              </w:tc>
            </w:tr>
            <w:tr w:rsidR="00523C41" w:rsidTr="00655C6B">
              <w:tc>
                <w:tcPr>
                  <w:tcW w:w="4673" w:type="dxa"/>
                  <w:tcMar>
                    <w:right w:w="360" w:type="dxa"/>
                  </w:tcMar>
                </w:tcPr>
                <w:p w:rsidR="00655C6B" w:rsidRDefault="00AD24B4" w:rsidP="004B647E">
                  <w:pPr>
                    <w:jc w:val="both"/>
                  </w:pPr>
                  <w:r>
                    <w:t>SECTION 5.  Sections 41.44(a) and (c), Tax Code, are amended</w:t>
                  </w:r>
                  <w:r>
                    <w:t>.</w:t>
                  </w:r>
                </w:p>
              </w:tc>
              <w:tc>
                <w:tcPr>
                  <w:tcW w:w="4673" w:type="dxa"/>
                  <w:tcMar>
                    <w:left w:w="360" w:type="dxa"/>
                  </w:tcMar>
                </w:tcPr>
                <w:p w:rsidR="00655C6B" w:rsidRDefault="00AD24B4" w:rsidP="004B647E">
                  <w:pPr>
                    <w:jc w:val="both"/>
                  </w:pPr>
                  <w:r>
                    <w:t>SECTION 5. Same as introduced version.</w:t>
                  </w:r>
                </w:p>
                <w:p w:rsidR="00655C6B" w:rsidRDefault="00AD24B4" w:rsidP="004B647E">
                  <w:pPr>
                    <w:jc w:val="both"/>
                  </w:pPr>
                </w:p>
              </w:tc>
            </w:tr>
            <w:tr w:rsidR="00523C41" w:rsidTr="00655C6B">
              <w:tc>
                <w:tcPr>
                  <w:tcW w:w="4673" w:type="dxa"/>
                  <w:tcMar>
                    <w:right w:w="360" w:type="dxa"/>
                  </w:tcMar>
                </w:tcPr>
                <w:p w:rsidR="00655C6B" w:rsidRDefault="00AD24B4" w:rsidP="004B647E">
                  <w:pPr>
                    <w:jc w:val="both"/>
                  </w:pPr>
                  <w:r>
                    <w:t>SECTION 6.  Section 41.44(b-1), Tax Code, is repealed.</w:t>
                  </w:r>
                </w:p>
              </w:tc>
              <w:tc>
                <w:tcPr>
                  <w:tcW w:w="4673" w:type="dxa"/>
                  <w:tcMar>
                    <w:left w:w="360" w:type="dxa"/>
                  </w:tcMar>
                </w:tcPr>
                <w:p w:rsidR="00655C6B" w:rsidRDefault="00AD24B4" w:rsidP="004B647E">
                  <w:pPr>
                    <w:jc w:val="both"/>
                  </w:pPr>
                  <w:r>
                    <w:t>SECTION 6. Same as introduced version.</w:t>
                  </w:r>
                </w:p>
                <w:p w:rsidR="00655C6B" w:rsidRDefault="00AD24B4" w:rsidP="004B647E">
                  <w:pPr>
                    <w:jc w:val="both"/>
                  </w:pPr>
                </w:p>
              </w:tc>
            </w:tr>
            <w:tr w:rsidR="00523C41" w:rsidTr="00655C6B">
              <w:tc>
                <w:tcPr>
                  <w:tcW w:w="4673" w:type="dxa"/>
                  <w:tcMar>
                    <w:right w:w="360" w:type="dxa"/>
                  </w:tcMar>
                </w:tcPr>
                <w:p w:rsidR="00655C6B" w:rsidRDefault="00AD24B4" w:rsidP="004B647E">
                  <w:pPr>
                    <w:jc w:val="both"/>
                  </w:pPr>
                  <w:r>
                    <w:t xml:space="preserve">SECTION 7.  This Act applies only to ad </w:t>
                  </w:r>
                  <w:r>
                    <w:t>valorem taxes imposed for a tax year beginning on or after the effective date of this Act.</w:t>
                  </w:r>
                </w:p>
              </w:tc>
              <w:tc>
                <w:tcPr>
                  <w:tcW w:w="4673" w:type="dxa"/>
                  <w:tcMar>
                    <w:left w:w="360" w:type="dxa"/>
                  </w:tcMar>
                </w:tcPr>
                <w:p w:rsidR="00655C6B" w:rsidRDefault="00AD24B4" w:rsidP="004B647E">
                  <w:pPr>
                    <w:jc w:val="both"/>
                  </w:pPr>
                  <w:r>
                    <w:t>SECTION 7. Same as introduced version.</w:t>
                  </w:r>
                </w:p>
                <w:p w:rsidR="00655C6B" w:rsidRDefault="00AD24B4" w:rsidP="004B647E">
                  <w:pPr>
                    <w:jc w:val="both"/>
                  </w:pPr>
                </w:p>
                <w:p w:rsidR="00655C6B" w:rsidRDefault="00AD24B4" w:rsidP="004B647E">
                  <w:pPr>
                    <w:jc w:val="both"/>
                  </w:pPr>
                </w:p>
              </w:tc>
            </w:tr>
            <w:tr w:rsidR="00523C41" w:rsidTr="00655C6B">
              <w:tc>
                <w:tcPr>
                  <w:tcW w:w="4673" w:type="dxa"/>
                  <w:tcMar>
                    <w:right w:w="360" w:type="dxa"/>
                  </w:tcMar>
                </w:tcPr>
                <w:p w:rsidR="00655C6B" w:rsidRDefault="00AD24B4" w:rsidP="004B647E">
                  <w:pPr>
                    <w:jc w:val="both"/>
                  </w:pPr>
                  <w:r>
                    <w:t>SECTION 8.  This Act takes effect January 1, 2018.</w:t>
                  </w:r>
                </w:p>
              </w:tc>
              <w:tc>
                <w:tcPr>
                  <w:tcW w:w="4673" w:type="dxa"/>
                  <w:tcMar>
                    <w:left w:w="360" w:type="dxa"/>
                  </w:tcMar>
                </w:tcPr>
                <w:p w:rsidR="00655C6B" w:rsidRDefault="00AD24B4" w:rsidP="004B647E">
                  <w:pPr>
                    <w:jc w:val="both"/>
                  </w:pPr>
                  <w:r>
                    <w:t>SECTION 8. Same as introduced version.</w:t>
                  </w:r>
                </w:p>
                <w:p w:rsidR="00655C6B" w:rsidRDefault="00AD24B4" w:rsidP="004B647E">
                  <w:pPr>
                    <w:jc w:val="both"/>
                  </w:pPr>
                </w:p>
              </w:tc>
            </w:tr>
          </w:tbl>
          <w:p w:rsidR="00655C6B" w:rsidRDefault="00AD24B4" w:rsidP="004B647E"/>
          <w:p w:rsidR="00655C6B" w:rsidRPr="009C1E9A" w:rsidRDefault="00AD24B4" w:rsidP="004B647E">
            <w:pPr>
              <w:rPr>
                <w:b/>
                <w:u w:val="single"/>
              </w:rPr>
            </w:pPr>
          </w:p>
        </w:tc>
      </w:tr>
    </w:tbl>
    <w:p w:rsidR="008423E4" w:rsidRPr="00BE0E75" w:rsidRDefault="00AD24B4" w:rsidP="008423E4">
      <w:pPr>
        <w:spacing w:line="480" w:lineRule="auto"/>
        <w:jc w:val="both"/>
        <w:rPr>
          <w:rFonts w:ascii="Arial" w:hAnsi="Arial"/>
          <w:sz w:val="16"/>
          <w:szCs w:val="16"/>
        </w:rPr>
      </w:pPr>
    </w:p>
    <w:p w:rsidR="004108C3" w:rsidRPr="008423E4" w:rsidRDefault="00AD24B4"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24B4">
      <w:r>
        <w:separator/>
      </w:r>
    </w:p>
  </w:endnote>
  <w:endnote w:type="continuationSeparator" w:id="0">
    <w:p w:rsidR="00000000" w:rsidRDefault="00A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34" w:rsidRDefault="00AD2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523C41" w:rsidTr="009C1E9A">
      <w:trPr>
        <w:cantSplit/>
      </w:trPr>
      <w:tc>
        <w:tcPr>
          <w:tcW w:w="0" w:type="pct"/>
        </w:tcPr>
        <w:p w:rsidR="00137D90" w:rsidRDefault="00AD24B4" w:rsidP="009C1E9A">
          <w:pPr>
            <w:pStyle w:val="Footer"/>
            <w:tabs>
              <w:tab w:val="clear" w:pos="8640"/>
              <w:tab w:val="right" w:pos="9360"/>
            </w:tabs>
          </w:pPr>
        </w:p>
      </w:tc>
      <w:tc>
        <w:tcPr>
          <w:tcW w:w="2395" w:type="pct"/>
        </w:tcPr>
        <w:p w:rsidR="00137D90" w:rsidRDefault="00AD24B4" w:rsidP="009C1E9A">
          <w:pPr>
            <w:pStyle w:val="Footer"/>
            <w:tabs>
              <w:tab w:val="clear" w:pos="8640"/>
              <w:tab w:val="right" w:pos="9360"/>
            </w:tabs>
          </w:pPr>
        </w:p>
        <w:p w:rsidR="001A4310" w:rsidRDefault="00AD24B4" w:rsidP="009C1E9A">
          <w:pPr>
            <w:pStyle w:val="Footer"/>
            <w:tabs>
              <w:tab w:val="clear" w:pos="8640"/>
              <w:tab w:val="right" w:pos="9360"/>
            </w:tabs>
          </w:pPr>
        </w:p>
        <w:p w:rsidR="00137D90" w:rsidRDefault="00AD24B4" w:rsidP="009C1E9A">
          <w:pPr>
            <w:pStyle w:val="Footer"/>
            <w:tabs>
              <w:tab w:val="clear" w:pos="8640"/>
              <w:tab w:val="right" w:pos="9360"/>
            </w:tabs>
          </w:pPr>
        </w:p>
      </w:tc>
      <w:tc>
        <w:tcPr>
          <w:tcW w:w="2453" w:type="pct"/>
        </w:tcPr>
        <w:p w:rsidR="00137D90" w:rsidRDefault="00AD24B4" w:rsidP="009C1E9A">
          <w:pPr>
            <w:pStyle w:val="Footer"/>
            <w:tabs>
              <w:tab w:val="clear" w:pos="8640"/>
              <w:tab w:val="right" w:pos="9360"/>
            </w:tabs>
            <w:jc w:val="right"/>
          </w:pPr>
        </w:p>
      </w:tc>
    </w:tr>
    <w:tr w:rsidR="00523C41" w:rsidTr="009C1E9A">
      <w:trPr>
        <w:cantSplit/>
      </w:trPr>
      <w:tc>
        <w:tcPr>
          <w:tcW w:w="0" w:type="pct"/>
        </w:tcPr>
        <w:p w:rsidR="00EC379B" w:rsidRDefault="00AD24B4" w:rsidP="009C1E9A">
          <w:pPr>
            <w:pStyle w:val="Footer"/>
            <w:tabs>
              <w:tab w:val="clear" w:pos="8640"/>
              <w:tab w:val="right" w:pos="9360"/>
            </w:tabs>
          </w:pPr>
        </w:p>
      </w:tc>
      <w:tc>
        <w:tcPr>
          <w:tcW w:w="2395" w:type="pct"/>
        </w:tcPr>
        <w:p w:rsidR="00EC379B" w:rsidRPr="009C1E9A" w:rsidRDefault="00AD24B4" w:rsidP="009C1E9A">
          <w:pPr>
            <w:pStyle w:val="Footer"/>
            <w:tabs>
              <w:tab w:val="clear" w:pos="8640"/>
              <w:tab w:val="right" w:pos="9360"/>
            </w:tabs>
            <w:rPr>
              <w:rFonts w:ascii="Shruti" w:hAnsi="Shruti"/>
              <w:sz w:val="22"/>
            </w:rPr>
          </w:pPr>
          <w:r>
            <w:rPr>
              <w:rFonts w:ascii="Shruti" w:hAnsi="Shruti"/>
              <w:sz w:val="22"/>
            </w:rPr>
            <w:t>85R 25491</w:t>
          </w:r>
        </w:p>
      </w:tc>
      <w:tc>
        <w:tcPr>
          <w:tcW w:w="2453" w:type="pct"/>
        </w:tcPr>
        <w:p w:rsidR="00EC379B" w:rsidRDefault="00AD24B4" w:rsidP="009C1E9A">
          <w:pPr>
            <w:pStyle w:val="Footer"/>
            <w:tabs>
              <w:tab w:val="clear" w:pos="8640"/>
              <w:tab w:val="right" w:pos="9360"/>
            </w:tabs>
            <w:jc w:val="right"/>
          </w:pPr>
          <w:r>
            <w:fldChar w:fldCharType="begin"/>
          </w:r>
          <w:r>
            <w:instrText xml:space="preserve"> DOCPROPERTY  OTID  \* MERGEFORMAT </w:instrText>
          </w:r>
          <w:r>
            <w:fldChar w:fldCharType="separate"/>
          </w:r>
          <w:r>
            <w:t>17.112.254</w:t>
          </w:r>
          <w:r>
            <w:fldChar w:fldCharType="end"/>
          </w:r>
        </w:p>
      </w:tc>
    </w:tr>
    <w:tr w:rsidR="00523C41" w:rsidTr="009C1E9A">
      <w:trPr>
        <w:cantSplit/>
      </w:trPr>
      <w:tc>
        <w:tcPr>
          <w:tcW w:w="0" w:type="pct"/>
        </w:tcPr>
        <w:p w:rsidR="00EC379B" w:rsidRDefault="00AD24B4" w:rsidP="009C1E9A">
          <w:pPr>
            <w:pStyle w:val="Footer"/>
            <w:tabs>
              <w:tab w:val="clear" w:pos="4320"/>
              <w:tab w:val="clear" w:pos="8640"/>
              <w:tab w:val="left" w:pos="2865"/>
            </w:tabs>
          </w:pPr>
        </w:p>
      </w:tc>
      <w:tc>
        <w:tcPr>
          <w:tcW w:w="2395" w:type="pct"/>
        </w:tcPr>
        <w:p w:rsidR="00EC379B" w:rsidRPr="009C1E9A" w:rsidRDefault="00AD24B4" w:rsidP="009C1E9A">
          <w:pPr>
            <w:pStyle w:val="Footer"/>
            <w:tabs>
              <w:tab w:val="clear" w:pos="4320"/>
              <w:tab w:val="clear" w:pos="8640"/>
              <w:tab w:val="left" w:pos="2865"/>
            </w:tabs>
            <w:rPr>
              <w:rFonts w:ascii="Shruti" w:hAnsi="Shruti"/>
              <w:sz w:val="22"/>
            </w:rPr>
          </w:pPr>
          <w:r>
            <w:rPr>
              <w:rFonts w:ascii="Shruti" w:hAnsi="Shruti"/>
              <w:sz w:val="22"/>
            </w:rPr>
            <w:t>Substitute Document Number: 85R 22008</w:t>
          </w:r>
        </w:p>
      </w:tc>
      <w:tc>
        <w:tcPr>
          <w:tcW w:w="2453" w:type="pct"/>
        </w:tcPr>
        <w:p w:rsidR="00EC379B" w:rsidRDefault="00AD24B4" w:rsidP="006D504F">
          <w:pPr>
            <w:pStyle w:val="Footer"/>
            <w:rPr>
              <w:rStyle w:val="PageNumber"/>
            </w:rPr>
          </w:pPr>
        </w:p>
        <w:p w:rsidR="00EC379B" w:rsidRDefault="00AD24B4" w:rsidP="009C1E9A">
          <w:pPr>
            <w:pStyle w:val="Footer"/>
            <w:tabs>
              <w:tab w:val="clear" w:pos="8640"/>
              <w:tab w:val="right" w:pos="9360"/>
            </w:tabs>
            <w:jc w:val="right"/>
          </w:pPr>
        </w:p>
      </w:tc>
    </w:tr>
    <w:tr w:rsidR="00523C41" w:rsidTr="009C1E9A">
      <w:trPr>
        <w:cantSplit/>
        <w:trHeight w:val="323"/>
      </w:trPr>
      <w:tc>
        <w:tcPr>
          <w:tcW w:w="0" w:type="pct"/>
          <w:gridSpan w:val="3"/>
        </w:tcPr>
        <w:p w:rsidR="00EC379B" w:rsidRDefault="00AD24B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AD24B4" w:rsidP="009C1E9A">
          <w:pPr>
            <w:pStyle w:val="Footer"/>
            <w:tabs>
              <w:tab w:val="clear" w:pos="8640"/>
              <w:tab w:val="right" w:pos="9360"/>
            </w:tabs>
            <w:jc w:val="center"/>
          </w:pPr>
        </w:p>
      </w:tc>
    </w:tr>
  </w:tbl>
  <w:p w:rsidR="00EC379B" w:rsidRPr="00FF6F72" w:rsidRDefault="00AD24B4"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34" w:rsidRDefault="00AD2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24B4">
      <w:r>
        <w:separator/>
      </w:r>
    </w:p>
  </w:footnote>
  <w:footnote w:type="continuationSeparator" w:id="0">
    <w:p w:rsidR="00000000" w:rsidRDefault="00AD2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34" w:rsidRDefault="00AD2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34" w:rsidRDefault="00AD2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34" w:rsidRDefault="00AD2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94559"/>
    <w:multiLevelType w:val="hybridMultilevel"/>
    <w:tmpl w:val="4462EFEE"/>
    <w:lvl w:ilvl="0" w:tplc="C9425DA8">
      <w:start w:val="1"/>
      <w:numFmt w:val="bullet"/>
      <w:lvlText w:val=""/>
      <w:lvlJc w:val="left"/>
      <w:pPr>
        <w:ind w:left="720" w:hanging="360"/>
      </w:pPr>
      <w:rPr>
        <w:rFonts w:ascii="Symbol" w:hAnsi="Symbol" w:hint="default"/>
      </w:rPr>
    </w:lvl>
    <w:lvl w:ilvl="1" w:tplc="709ED4AE" w:tentative="1">
      <w:start w:val="1"/>
      <w:numFmt w:val="bullet"/>
      <w:lvlText w:val="o"/>
      <w:lvlJc w:val="left"/>
      <w:pPr>
        <w:ind w:left="1440" w:hanging="360"/>
      </w:pPr>
      <w:rPr>
        <w:rFonts w:ascii="Courier New" w:hAnsi="Courier New" w:cs="Courier New" w:hint="default"/>
      </w:rPr>
    </w:lvl>
    <w:lvl w:ilvl="2" w:tplc="CF7687AC" w:tentative="1">
      <w:start w:val="1"/>
      <w:numFmt w:val="bullet"/>
      <w:lvlText w:val=""/>
      <w:lvlJc w:val="left"/>
      <w:pPr>
        <w:ind w:left="2160" w:hanging="360"/>
      </w:pPr>
      <w:rPr>
        <w:rFonts w:ascii="Wingdings" w:hAnsi="Wingdings" w:hint="default"/>
      </w:rPr>
    </w:lvl>
    <w:lvl w:ilvl="3" w:tplc="5D6EC028" w:tentative="1">
      <w:start w:val="1"/>
      <w:numFmt w:val="bullet"/>
      <w:lvlText w:val=""/>
      <w:lvlJc w:val="left"/>
      <w:pPr>
        <w:ind w:left="2880" w:hanging="360"/>
      </w:pPr>
      <w:rPr>
        <w:rFonts w:ascii="Symbol" w:hAnsi="Symbol" w:hint="default"/>
      </w:rPr>
    </w:lvl>
    <w:lvl w:ilvl="4" w:tplc="3D48519C" w:tentative="1">
      <w:start w:val="1"/>
      <w:numFmt w:val="bullet"/>
      <w:lvlText w:val="o"/>
      <w:lvlJc w:val="left"/>
      <w:pPr>
        <w:ind w:left="3600" w:hanging="360"/>
      </w:pPr>
      <w:rPr>
        <w:rFonts w:ascii="Courier New" w:hAnsi="Courier New" w:cs="Courier New" w:hint="default"/>
      </w:rPr>
    </w:lvl>
    <w:lvl w:ilvl="5" w:tplc="2DF0CB36" w:tentative="1">
      <w:start w:val="1"/>
      <w:numFmt w:val="bullet"/>
      <w:lvlText w:val=""/>
      <w:lvlJc w:val="left"/>
      <w:pPr>
        <w:ind w:left="4320" w:hanging="360"/>
      </w:pPr>
      <w:rPr>
        <w:rFonts w:ascii="Wingdings" w:hAnsi="Wingdings" w:hint="default"/>
      </w:rPr>
    </w:lvl>
    <w:lvl w:ilvl="6" w:tplc="7F125CF0" w:tentative="1">
      <w:start w:val="1"/>
      <w:numFmt w:val="bullet"/>
      <w:lvlText w:val=""/>
      <w:lvlJc w:val="left"/>
      <w:pPr>
        <w:ind w:left="5040" w:hanging="360"/>
      </w:pPr>
      <w:rPr>
        <w:rFonts w:ascii="Symbol" w:hAnsi="Symbol" w:hint="default"/>
      </w:rPr>
    </w:lvl>
    <w:lvl w:ilvl="7" w:tplc="D40426C0" w:tentative="1">
      <w:start w:val="1"/>
      <w:numFmt w:val="bullet"/>
      <w:lvlText w:val="o"/>
      <w:lvlJc w:val="left"/>
      <w:pPr>
        <w:ind w:left="5760" w:hanging="360"/>
      </w:pPr>
      <w:rPr>
        <w:rFonts w:ascii="Courier New" w:hAnsi="Courier New" w:cs="Courier New" w:hint="default"/>
      </w:rPr>
    </w:lvl>
    <w:lvl w:ilvl="8" w:tplc="F4C4C156" w:tentative="1">
      <w:start w:val="1"/>
      <w:numFmt w:val="bullet"/>
      <w:lvlText w:val=""/>
      <w:lvlJc w:val="left"/>
      <w:pPr>
        <w:ind w:left="6480" w:hanging="360"/>
      </w:pPr>
      <w:rPr>
        <w:rFonts w:ascii="Wingdings" w:hAnsi="Wingdings" w:hint="default"/>
      </w:rPr>
    </w:lvl>
  </w:abstractNum>
  <w:abstractNum w:abstractNumId="1">
    <w:nsid w:val="61111DB9"/>
    <w:multiLevelType w:val="hybridMultilevel"/>
    <w:tmpl w:val="D370FC40"/>
    <w:lvl w:ilvl="0" w:tplc="D9C888F2">
      <w:start w:val="1"/>
      <w:numFmt w:val="bullet"/>
      <w:lvlText w:val=""/>
      <w:lvlJc w:val="left"/>
      <w:pPr>
        <w:ind w:left="720" w:hanging="360"/>
      </w:pPr>
      <w:rPr>
        <w:rFonts w:ascii="Symbol" w:hAnsi="Symbol" w:hint="default"/>
      </w:rPr>
    </w:lvl>
    <w:lvl w:ilvl="1" w:tplc="36D4D762" w:tentative="1">
      <w:start w:val="1"/>
      <w:numFmt w:val="bullet"/>
      <w:lvlText w:val="o"/>
      <w:lvlJc w:val="left"/>
      <w:pPr>
        <w:ind w:left="1440" w:hanging="360"/>
      </w:pPr>
      <w:rPr>
        <w:rFonts w:ascii="Courier New" w:hAnsi="Courier New" w:cs="Courier New" w:hint="default"/>
      </w:rPr>
    </w:lvl>
    <w:lvl w:ilvl="2" w:tplc="8B5246C4" w:tentative="1">
      <w:start w:val="1"/>
      <w:numFmt w:val="bullet"/>
      <w:lvlText w:val=""/>
      <w:lvlJc w:val="left"/>
      <w:pPr>
        <w:ind w:left="2160" w:hanging="360"/>
      </w:pPr>
      <w:rPr>
        <w:rFonts w:ascii="Wingdings" w:hAnsi="Wingdings" w:hint="default"/>
      </w:rPr>
    </w:lvl>
    <w:lvl w:ilvl="3" w:tplc="22DCD46E" w:tentative="1">
      <w:start w:val="1"/>
      <w:numFmt w:val="bullet"/>
      <w:lvlText w:val=""/>
      <w:lvlJc w:val="left"/>
      <w:pPr>
        <w:ind w:left="2880" w:hanging="360"/>
      </w:pPr>
      <w:rPr>
        <w:rFonts w:ascii="Symbol" w:hAnsi="Symbol" w:hint="default"/>
      </w:rPr>
    </w:lvl>
    <w:lvl w:ilvl="4" w:tplc="2722B982" w:tentative="1">
      <w:start w:val="1"/>
      <w:numFmt w:val="bullet"/>
      <w:lvlText w:val="o"/>
      <w:lvlJc w:val="left"/>
      <w:pPr>
        <w:ind w:left="3600" w:hanging="360"/>
      </w:pPr>
      <w:rPr>
        <w:rFonts w:ascii="Courier New" w:hAnsi="Courier New" w:cs="Courier New" w:hint="default"/>
      </w:rPr>
    </w:lvl>
    <w:lvl w:ilvl="5" w:tplc="56D8F0F4" w:tentative="1">
      <w:start w:val="1"/>
      <w:numFmt w:val="bullet"/>
      <w:lvlText w:val=""/>
      <w:lvlJc w:val="left"/>
      <w:pPr>
        <w:ind w:left="4320" w:hanging="360"/>
      </w:pPr>
      <w:rPr>
        <w:rFonts w:ascii="Wingdings" w:hAnsi="Wingdings" w:hint="default"/>
      </w:rPr>
    </w:lvl>
    <w:lvl w:ilvl="6" w:tplc="6B54FF90" w:tentative="1">
      <w:start w:val="1"/>
      <w:numFmt w:val="bullet"/>
      <w:lvlText w:val=""/>
      <w:lvlJc w:val="left"/>
      <w:pPr>
        <w:ind w:left="5040" w:hanging="360"/>
      </w:pPr>
      <w:rPr>
        <w:rFonts w:ascii="Symbol" w:hAnsi="Symbol" w:hint="default"/>
      </w:rPr>
    </w:lvl>
    <w:lvl w:ilvl="7" w:tplc="F92CC19A" w:tentative="1">
      <w:start w:val="1"/>
      <w:numFmt w:val="bullet"/>
      <w:lvlText w:val="o"/>
      <w:lvlJc w:val="left"/>
      <w:pPr>
        <w:ind w:left="5760" w:hanging="360"/>
      </w:pPr>
      <w:rPr>
        <w:rFonts w:ascii="Courier New" w:hAnsi="Courier New" w:cs="Courier New" w:hint="default"/>
      </w:rPr>
    </w:lvl>
    <w:lvl w:ilvl="8" w:tplc="B88696C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41"/>
    <w:rsid w:val="00523C41"/>
    <w:rsid w:val="00AD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62157"/>
    <w:rPr>
      <w:sz w:val="16"/>
      <w:szCs w:val="16"/>
    </w:rPr>
  </w:style>
  <w:style w:type="paragraph" w:styleId="CommentText">
    <w:name w:val="annotation text"/>
    <w:basedOn w:val="Normal"/>
    <w:link w:val="CommentTextChar"/>
    <w:rsid w:val="00A62157"/>
    <w:rPr>
      <w:sz w:val="20"/>
      <w:szCs w:val="20"/>
    </w:rPr>
  </w:style>
  <w:style w:type="character" w:customStyle="1" w:styleId="CommentTextChar">
    <w:name w:val="Comment Text Char"/>
    <w:basedOn w:val="DefaultParagraphFont"/>
    <w:link w:val="CommentText"/>
    <w:rsid w:val="00A62157"/>
  </w:style>
  <w:style w:type="paragraph" w:styleId="CommentSubject">
    <w:name w:val="annotation subject"/>
    <w:basedOn w:val="CommentText"/>
    <w:next w:val="CommentText"/>
    <w:link w:val="CommentSubjectChar"/>
    <w:rsid w:val="00A62157"/>
    <w:rPr>
      <w:b/>
      <w:bCs/>
    </w:rPr>
  </w:style>
  <w:style w:type="character" w:customStyle="1" w:styleId="CommentSubjectChar">
    <w:name w:val="Comment Subject Char"/>
    <w:basedOn w:val="CommentTextChar"/>
    <w:link w:val="CommentSubject"/>
    <w:rsid w:val="00A62157"/>
    <w:rPr>
      <w:b/>
      <w:bCs/>
    </w:rPr>
  </w:style>
  <w:style w:type="paragraph" w:styleId="ListParagraph">
    <w:name w:val="List Paragraph"/>
    <w:basedOn w:val="Normal"/>
    <w:uiPriority w:val="34"/>
    <w:qFormat/>
    <w:rsid w:val="00AE70D8"/>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A62157"/>
    <w:rPr>
      <w:sz w:val="16"/>
      <w:szCs w:val="16"/>
    </w:rPr>
  </w:style>
  <w:style w:type="paragraph" w:styleId="CommentText">
    <w:name w:val="annotation text"/>
    <w:basedOn w:val="Normal"/>
    <w:link w:val="CommentTextChar"/>
    <w:rsid w:val="00A62157"/>
    <w:rPr>
      <w:sz w:val="20"/>
      <w:szCs w:val="20"/>
    </w:rPr>
  </w:style>
  <w:style w:type="character" w:customStyle="1" w:styleId="CommentTextChar">
    <w:name w:val="Comment Text Char"/>
    <w:basedOn w:val="DefaultParagraphFont"/>
    <w:link w:val="CommentText"/>
    <w:rsid w:val="00A62157"/>
  </w:style>
  <w:style w:type="paragraph" w:styleId="CommentSubject">
    <w:name w:val="annotation subject"/>
    <w:basedOn w:val="CommentText"/>
    <w:next w:val="CommentText"/>
    <w:link w:val="CommentSubjectChar"/>
    <w:rsid w:val="00A62157"/>
    <w:rPr>
      <w:b/>
      <w:bCs/>
    </w:rPr>
  </w:style>
  <w:style w:type="character" w:customStyle="1" w:styleId="CommentSubjectChar">
    <w:name w:val="Comment Subject Char"/>
    <w:basedOn w:val="CommentTextChar"/>
    <w:link w:val="CommentSubject"/>
    <w:rsid w:val="00A62157"/>
    <w:rPr>
      <w:b/>
      <w:bCs/>
    </w:rPr>
  </w:style>
  <w:style w:type="paragraph" w:styleId="ListParagraph">
    <w:name w:val="List Paragraph"/>
    <w:basedOn w:val="Normal"/>
    <w:uiPriority w:val="34"/>
    <w:qFormat/>
    <w:rsid w:val="00AE70D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1325</Words>
  <Characters>6858</Characters>
  <Application>Microsoft Office Word</Application>
  <DocSecurity>4</DocSecurity>
  <Lines>192</Lines>
  <Paragraphs>45</Paragraphs>
  <ScaleCrop>false</ScaleCrop>
  <HeadingPairs>
    <vt:vector size="2" baseType="variant">
      <vt:variant>
        <vt:lpstr>Title</vt:lpstr>
      </vt:variant>
      <vt:variant>
        <vt:i4>1</vt:i4>
      </vt:variant>
    </vt:vector>
  </HeadingPairs>
  <TitlesOfParts>
    <vt:vector size="1" baseType="lpstr">
      <vt:lpstr>BA - HB02228 (Committee Report (Substituted))</vt:lpstr>
    </vt:vector>
  </TitlesOfParts>
  <Company>State of Texas</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25491</dc:subject>
  <dc:creator>State of Texas</dc:creator>
  <dc:description>HB 2228 by Murphy-(H)Ways &amp; Means (Substitute Document Number: 85R 22008)</dc:description>
  <cp:lastModifiedBy>Brianna Weis</cp:lastModifiedBy>
  <cp:revision>2</cp:revision>
  <cp:lastPrinted>2017-04-23T20:57:00Z</cp:lastPrinted>
  <dcterms:created xsi:type="dcterms:W3CDTF">2017-04-25T20:44:00Z</dcterms:created>
  <dcterms:modified xsi:type="dcterms:W3CDTF">2017-04-25T20:44:00Z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17.112.254</vt:lpwstr>
  </property>
</Properties>
</file>