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Look w:val="01E0" w:firstRow="1" w:lastRow="1" w:firstColumn="1" w:lastColumn="1" w:noHBand="0" w:noVBand="0"/>
      </w:tblPr>
      <w:tblGrid>
        <w:gridCol w:w="9576"/>
      </w:tblGrid>
      <w:tr w:rsidR="008B3233" w:rsidTr="00345119">
        <w:tc>
          <w:tcPr>
            <w:tcW w:w="9576" w:type="dxa"/>
            <w:noWrap/>
          </w:tcPr>
          <w:p w:rsidR="008423E4" w:rsidRPr="0022177D" w:rsidRDefault="00FB3351" w:rsidP="00345119">
            <w:pPr>
              <w:pStyle w:val="Heading1"/>
            </w:pPr>
            <w:bookmarkStart w:id="0" w:name="_GoBack"/>
            <w:bookmarkEnd w:id="0"/>
            <w:r w:rsidRPr="00631897">
              <w:t>BILL ANALYSIS</w:t>
            </w:r>
          </w:p>
        </w:tc>
      </w:tr>
    </w:tbl>
    <w:p w:rsidR="008423E4" w:rsidRPr="0022177D" w:rsidRDefault="00FB3351" w:rsidP="008423E4">
      <w:pPr>
        <w:jc w:val="center"/>
      </w:pPr>
    </w:p>
    <w:p w:rsidR="008423E4" w:rsidRPr="00B31F0E" w:rsidRDefault="00FB3351" w:rsidP="008423E4"/>
    <w:p w:rsidR="008423E4" w:rsidRPr="00742794" w:rsidRDefault="00FB3351" w:rsidP="008423E4">
      <w:pPr>
        <w:tabs>
          <w:tab w:val="right" w:pos="9360"/>
        </w:tabs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576"/>
      </w:tblGrid>
      <w:tr w:rsidR="008B3233" w:rsidTr="00345119">
        <w:tc>
          <w:tcPr>
            <w:tcW w:w="9576" w:type="dxa"/>
          </w:tcPr>
          <w:p w:rsidR="008423E4" w:rsidRPr="00861995" w:rsidRDefault="00FB3351" w:rsidP="00345119">
            <w:pPr>
              <w:jc w:val="right"/>
            </w:pPr>
            <w:r>
              <w:t>C.S.H.B. 1342</w:t>
            </w:r>
          </w:p>
        </w:tc>
      </w:tr>
      <w:tr w:rsidR="008B3233" w:rsidTr="00345119">
        <w:tc>
          <w:tcPr>
            <w:tcW w:w="9576" w:type="dxa"/>
          </w:tcPr>
          <w:p w:rsidR="008423E4" w:rsidRPr="00861995" w:rsidRDefault="00FB3351" w:rsidP="0042609E">
            <w:pPr>
              <w:jc w:val="right"/>
            </w:pPr>
            <w:r>
              <w:t xml:space="preserve">By: </w:t>
            </w:r>
            <w:r>
              <w:t>Parker</w:t>
            </w:r>
          </w:p>
        </w:tc>
      </w:tr>
      <w:tr w:rsidR="008B3233" w:rsidTr="00345119">
        <w:tc>
          <w:tcPr>
            <w:tcW w:w="9576" w:type="dxa"/>
          </w:tcPr>
          <w:p w:rsidR="008423E4" w:rsidRPr="00861995" w:rsidRDefault="00FB3351" w:rsidP="00345119">
            <w:pPr>
              <w:jc w:val="right"/>
            </w:pPr>
            <w:r>
              <w:t>Public Education</w:t>
            </w:r>
          </w:p>
        </w:tc>
      </w:tr>
      <w:tr w:rsidR="008B3233" w:rsidTr="00345119">
        <w:tc>
          <w:tcPr>
            <w:tcW w:w="9576" w:type="dxa"/>
          </w:tcPr>
          <w:p w:rsidR="008423E4" w:rsidRDefault="00FB3351" w:rsidP="00345119">
            <w:pPr>
              <w:jc w:val="right"/>
            </w:pPr>
            <w:r>
              <w:t>Committee Report (Substituted)</w:t>
            </w:r>
          </w:p>
        </w:tc>
      </w:tr>
    </w:tbl>
    <w:p w:rsidR="008423E4" w:rsidRDefault="00FB3351" w:rsidP="008423E4">
      <w:pPr>
        <w:tabs>
          <w:tab w:val="right" w:pos="9360"/>
        </w:tabs>
      </w:pPr>
    </w:p>
    <w:p w:rsidR="008423E4" w:rsidRDefault="00FB3351" w:rsidP="008423E4"/>
    <w:p w:rsidR="008423E4" w:rsidRDefault="00FB3351" w:rsidP="008423E4"/>
    <w:tbl>
      <w:tblPr>
        <w:tblW w:w="0" w:type="auto"/>
        <w:tblCellMar>
          <w:left w:w="115" w:type="dxa"/>
          <w:right w:w="115" w:type="dxa"/>
        </w:tblCellMar>
        <w:tblLook w:val="01E0" w:firstRow="1" w:lastRow="1" w:firstColumn="1" w:lastColumn="1" w:noHBand="0" w:noVBand="0"/>
      </w:tblPr>
      <w:tblGrid>
        <w:gridCol w:w="9582"/>
      </w:tblGrid>
      <w:tr w:rsidR="008B3233" w:rsidTr="0042609E">
        <w:tc>
          <w:tcPr>
            <w:tcW w:w="9582" w:type="dxa"/>
          </w:tcPr>
          <w:p w:rsidR="008423E4" w:rsidRPr="00A8133F" w:rsidRDefault="00FB3351" w:rsidP="00B272AA">
            <w:pPr>
              <w:rPr>
                <w:b/>
              </w:rPr>
            </w:pPr>
            <w:r w:rsidRPr="009C1E9A">
              <w:rPr>
                <w:b/>
                <w:u w:val="single"/>
              </w:rPr>
              <w:t>BACKGROUND AND PURPOSE</w:t>
            </w:r>
            <w:r>
              <w:rPr>
                <w:b/>
              </w:rPr>
              <w:t xml:space="preserve"> </w:t>
            </w:r>
          </w:p>
          <w:p w:rsidR="008423E4" w:rsidRDefault="00FB3351" w:rsidP="00B272AA"/>
          <w:p w:rsidR="008423E4" w:rsidRDefault="00FB3351" w:rsidP="00B272AA">
            <w:pPr>
              <w:pStyle w:val="Header"/>
              <w:jc w:val="both"/>
            </w:pPr>
            <w:r>
              <w:t>I</w:t>
            </w:r>
            <w:r>
              <w:t xml:space="preserve">nterested parties have observed different avenues to train those most at risk </w:t>
            </w:r>
            <w:r>
              <w:t xml:space="preserve">of child sexual abuse </w:t>
            </w:r>
            <w:r>
              <w:t xml:space="preserve">on how to recognize and prevent </w:t>
            </w:r>
            <w:r>
              <w:t>such abuse</w:t>
            </w:r>
            <w:r>
              <w:t xml:space="preserve">. </w:t>
            </w:r>
            <w:r>
              <w:t>C.S.</w:t>
            </w:r>
            <w:r>
              <w:t xml:space="preserve">H.B. 1342 proposes </w:t>
            </w:r>
            <w:r>
              <w:t xml:space="preserve">to bolster </w:t>
            </w:r>
            <w:r>
              <w:t xml:space="preserve">the public school system </w:t>
            </w:r>
            <w:r>
              <w:t xml:space="preserve">as </w:t>
            </w:r>
            <w:r>
              <w:t>one of those avenues</w:t>
            </w:r>
            <w:r>
              <w:t xml:space="preserve"> by establishing required</w:t>
            </w:r>
            <w:r>
              <w:t xml:space="preserve"> </w:t>
            </w:r>
            <w:r>
              <w:t>components of</w:t>
            </w:r>
            <w:r>
              <w:t xml:space="preserve"> </w:t>
            </w:r>
            <w:r>
              <w:t xml:space="preserve">a school district's </w:t>
            </w:r>
            <w:r>
              <w:t>child abuse antivictimization</w:t>
            </w:r>
            <w:r>
              <w:t xml:space="preserve"> program</w:t>
            </w:r>
            <w:r>
              <w:t>s</w:t>
            </w:r>
            <w:r>
              <w:t>.</w:t>
            </w:r>
          </w:p>
          <w:p w:rsidR="008423E4" w:rsidRPr="00E26B13" w:rsidRDefault="00FB3351" w:rsidP="00B272AA">
            <w:pPr>
              <w:rPr>
                <w:b/>
              </w:rPr>
            </w:pPr>
          </w:p>
        </w:tc>
      </w:tr>
      <w:tr w:rsidR="008B3233" w:rsidTr="0042609E">
        <w:tc>
          <w:tcPr>
            <w:tcW w:w="9582" w:type="dxa"/>
          </w:tcPr>
          <w:p w:rsidR="0017725B" w:rsidRDefault="00FB3351" w:rsidP="00B272AA">
            <w:pPr>
              <w:rPr>
                <w:b/>
                <w:u w:val="single"/>
              </w:rPr>
            </w:pPr>
            <w:r>
              <w:rPr>
                <w:b/>
                <w:u w:val="single"/>
              </w:rPr>
              <w:t>CRIMINAL JUSTICE IMPACT</w:t>
            </w:r>
          </w:p>
          <w:p w:rsidR="0017725B" w:rsidRDefault="00FB3351" w:rsidP="00B272AA">
            <w:pPr>
              <w:rPr>
                <w:b/>
                <w:u w:val="single"/>
              </w:rPr>
            </w:pPr>
          </w:p>
          <w:p w:rsidR="00050A7B" w:rsidRPr="00050A7B" w:rsidRDefault="00FB3351" w:rsidP="00B272AA">
            <w:pPr>
              <w:jc w:val="both"/>
            </w:pPr>
            <w:r>
              <w:t xml:space="preserve">It </w:t>
            </w:r>
            <w:r>
              <w:t xml:space="preserve">is the committee's opinion that this bill does not expressly create a criminal offense, increase the punishment for an existing criminal offense or category of offenses, or change the eligibility of a person for community supervision, parole, or mandatory </w:t>
            </w:r>
            <w:r>
              <w:t>supervision.</w:t>
            </w:r>
          </w:p>
          <w:p w:rsidR="0017725B" w:rsidRPr="0017725B" w:rsidRDefault="00FB3351" w:rsidP="00B272AA">
            <w:pPr>
              <w:rPr>
                <w:b/>
                <w:u w:val="single"/>
              </w:rPr>
            </w:pPr>
          </w:p>
        </w:tc>
      </w:tr>
      <w:tr w:rsidR="008B3233" w:rsidTr="0042609E">
        <w:tc>
          <w:tcPr>
            <w:tcW w:w="9582" w:type="dxa"/>
          </w:tcPr>
          <w:p w:rsidR="008423E4" w:rsidRPr="00A8133F" w:rsidRDefault="00FB3351" w:rsidP="00B272AA">
            <w:pPr>
              <w:rPr>
                <w:b/>
              </w:rPr>
            </w:pPr>
            <w:r w:rsidRPr="009C1E9A">
              <w:rPr>
                <w:b/>
                <w:u w:val="single"/>
              </w:rPr>
              <w:t>RULEMAKING AUTHORITY</w:t>
            </w:r>
            <w:r>
              <w:rPr>
                <w:b/>
              </w:rPr>
              <w:t xml:space="preserve"> </w:t>
            </w:r>
          </w:p>
          <w:p w:rsidR="008423E4" w:rsidRDefault="00FB3351" w:rsidP="00B272AA"/>
          <w:p w:rsidR="00050A7B" w:rsidRDefault="00FB3351" w:rsidP="00B272A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It is the committee's opinion that this bill does not expressly grant any additional rulemaking authority to a state officer, department, agency, or institution.</w:t>
            </w:r>
          </w:p>
          <w:p w:rsidR="008423E4" w:rsidRPr="00E21FDC" w:rsidRDefault="00FB3351" w:rsidP="00B272AA">
            <w:pPr>
              <w:rPr>
                <w:b/>
              </w:rPr>
            </w:pPr>
          </w:p>
        </w:tc>
      </w:tr>
      <w:tr w:rsidR="008B3233" w:rsidTr="0042609E">
        <w:tc>
          <w:tcPr>
            <w:tcW w:w="9582" w:type="dxa"/>
          </w:tcPr>
          <w:p w:rsidR="008423E4" w:rsidRPr="00A8133F" w:rsidRDefault="00FB3351" w:rsidP="00B272AA">
            <w:pPr>
              <w:rPr>
                <w:b/>
              </w:rPr>
            </w:pPr>
            <w:r w:rsidRPr="009C1E9A">
              <w:rPr>
                <w:b/>
                <w:u w:val="single"/>
              </w:rPr>
              <w:t>ANALYSIS</w:t>
            </w:r>
            <w:r>
              <w:rPr>
                <w:b/>
              </w:rPr>
              <w:t xml:space="preserve"> </w:t>
            </w:r>
          </w:p>
          <w:p w:rsidR="008423E4" w:rsidRDefault="00FB3351" w:rsidP="00B272AA"/>
          <w:p w:rsidR="008423E4" w:rsidRDefault="00FB3351" w:rsidP="00B272A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C.S.</w:t>
            </w:r>
            <w:r>
              <w:t xml:space="preserve">H.B. 1342 amends the Education Code to require the </w:t>
            </w:r>
            <w:r w:rsidRPr="007D4DC1">
              <w:t xml:space="preserve">child abuse antivictimization programs in </w:t>
            </w:r>
            <w:r>
              <w:t xml:space="preserve">public </w:t>
            </w:r>
            <w:r w:rsidRPr="007D4DC1">
              <w:t>elementary and secondary schools</w:t>
            </w:r>
            <w:r>
              <w:t xml:space="preserve"> provided by each </w:t>
            </w:r>
            <w:r>
              <w:t>school district</w:t>
            </w:r>
            <w:r>
              <w:t xml:space="preserve"> to </w:t>
            </w:r>
            <w:r>
              <w:t>include</w:t>
            </w:r>
            <w:r>
              <w:t xml:space="preserve"> annual age-appropriate</w:t>
            </w:r>
            <w:r w:rsidRPr="007D4DC1">
              <w:t xml:space="preserve">, </w:t>
            </w:r>
            <w:r>
              <w:t>research</w:t>
            </w:r>
            <w:r w:rsidRPr="007D4DC1">
              <w:t>-based child sexual abuse prevention training d</w:t>
            </w:r>
            <w:r w:rsidRPr="007D4DC1">
              <w:t xml:space="preserve">esigned to promote self-protection, prevent sexual abuse </w:t>
            </w:r>
            <w:r w:rsidRPr="00CB6C10">
              <w:t xml:space="preserve">and trafficking </w:t>
            </w:r>
            <w:r w:rsidRPr="007A1434">
              <w:t>of</w:t>
            </w:r>
            <w:r w:rsidRPr="007D4DC1">
              <w:t xml:space="preserve"> children, and reduce child pregnancy.</w:t>
            </w:r>
            <w:r>
              <w:t xml:space="preserve"> </w:t>
            </w:r>
            <w:r>
              <w:t>The bill requires the</w:t>
            </w:r>
            <w:r>
              <w:t xml:space="preserve"> </w:t>
            </w:r>
            <w:r>
              <w:t xml:space="preserve">district to </w:t>
            </w:r>
            <w:r w:rsidRPr="003653A8">
              <w:t>ensure that each student enrolled in the district attends the training each year</w:t>
            </w:r>
            <w:r>
              <w:t xml:space="preserve"> and to </w:t>
            </w:r>
            <w:r w:rsidRPr="003653A8">
              <w:t>provide at least two</w:t>
            </w:r>
            <w:r w:rsidRPr="003653A8">
              <w:t xml:space="preserve"> opportunities each year for a student to attend the training required that year.</w:t>
            </w:r>
            <w:r>
              <w:t xml:space="preserve"> The bill requires each district</w:t>
            </w:r>
            <w:r>
              <w:t>, n</w:t>
            </w:r>
            <w:r w:rsidRPr="00335637">
              <w:t>ot later than September 1 of each year</w:t>
            </w:r>
            <w:r>
              <w:t xml:space="preserve">, to submit to the Texas Education Agency a report on the number and percentage of students </w:t>
            </w:r>
            <w:r w:rsidRPr="00335637">
              <w:t>enrolled i</w:t>
            </w:r>
            <w:r w:rsidRPr="00335637">
              <w:t xml:space="preserve">n the district who attended the child sexual abuse prevention training required </w:t>
            </w:r>
            <w:r>
              <w:t xml:space="preserve">by the </w:t>
            </w:r>
            <w:r>
              <w:t>bill</w:t>
            </w:r>
            <w:r>
              <w:t xml:space="preserve"> during the preceding school year</w:t>
            </w:r>
            <w:r>
              <w:t xml:space="preserve"> and </w:t>
            </w:r>
            <w:r>
              <w:t xml:space="preserve">to submit the initial report not later than September 1, 2018. </w:t>
            </w:r>
            <w:r>
              <w:t xml:space="preserve">The bill </w:t>
            </w:r>
            <w:r>
              <w:t>applies</w:t>
            </w:r>
            <w:r>
              <w:t xml:space="preserve"> beginning with the 2017-2018 school year.</w:t>
            </w:r>
          </w:p>
          <w:p w:rsidR="007B764D" w:rsidRPr="00835628" w:rsidRDefault="00FB3351" w:rsidP="00B272AA">
            <w:pPr>
              <w:pStyle w:val="Header"/>
              <w:tabs>
                <w:tab w:val="clear" w:pos="4320"/>
                <w:tab w:val="clear" w:pos="8640"/>
              </w:tabs>
              <w:jc w:val="both"/>
              <w:rPr>
                <w:b/>
              </w:rPr>
            </w:pPr>
          </w:p>
        </w:tc>
      </w:tr>
      <w:tr w:rsidR="008B3233" w:rsidTr="0042609E">
        <w:tc>
          <w:tcPr>
            <w:tcW w:w="9582" w:type="dxa"/>
          </w:tcPr>
          <w:p w:rsidR="008423E4" w:rsidRPr="00A8133F" w:rsidRDefault="00FB3351" w:rsidP="00B272AA">
            <w:pPr>
              <w:rPr>
                <w:b/>
              </w:rPr>
            </w:pPr>
            <w:r w:rsidRPr="009C1E9A">
              <w:rPr>
                <w:b/>
                <w:u w:val="single"/>
              </w:rPr>
              <w:t>EFF</w:t>
            </w:r>
            <w:r w:rsidRPr="009C1E9A">
              <w:rPr>
                <w:b/>
                <w:u w:val="single"/>
              </w:rPr>
              <w:t>ECTIVE DATE</w:t>
            </w:r>
            <w:r>
              <w:rPr>
                <w:b/>
              </w:rPr>
              <w:t xml:space="preserve"> </w:t>
            </w:r>
          </w:p>
          <w:p w:rsidR="008423E4" w:rsidRDefault="00FB3351" w:rsidP="00B272AA"/>
          <w:p w:rsidR="008423E4" w:rsidRPr="003624F2" w:rsidRDefault="00FB3351" w:rsidP="00B272AA">
            <w:pPr>
              <w:pStyle w:val="Header"/>
              <w:tabs>
                <w:tab w:val="clear" w:pos="4320"/>
                <w:tab w:val="clear" w:pos="8640"/>
              </w:tabs>
              <w:jc w:val="both"/>
            </w:pPr>
            <w:r>
              <w:t>On passage, or, if the bill does not receive the necessary vote, September 1, 2017.</w:t>
            </w:r>
          </w:p>
          <w:p w:rsidR="008423E4" w:rsidRPr="00233FDB" w:rsidRDefault="00FB3351" w:rsidP="00B272AA">
            <w:pPr>
              <w:rPr>
                <w:b/>
              </w:rPr>
            </w:pPr>
          </w:p>
        </w:tc>
      </w:tr>
      <w:tr w:rsidR="008B3233" w:rsidTr="0042609E">
        <w:tc>
          <w:tcPr>
            <w:tcW w:w="9582" w:type="dxa"/>
          </w:tcPr>
          <w:p w:rsidR="0042609E" w:rsidRDefault="00FB3351" w:rsidP="00B272AA">
            <w:pPr>
              <w:jc w:val="both"/>
              <w:rPr>
                <w:b/>
                <w:u w:val="single"/>
              </w:rPr>
            </w:pPr>
            <w:r>
              <w:rPr>
                <w:b/>
                <w:u w:val="single"/>
              </w:rPr>
              <w:t>COMPARISON OF ORIGINAL AND SUBSTITUTE</w:t>
            </w:r>
          </w:p>
          <w:p w:rsidR="00FE2883" w:rsidRDefault="00FB3351" w:rsidP="00B272AA">
            <w:pPr>
              <w:jc w:val="both"/>
            </w:pPr>
          </w:p>
          <w:p w:rsidR="00FE2883" w:rsidRDefault="00FB3351" w:rsidP="00B272AA">
            <w:pPr>
              <w:jc w:val="both"/>
            </w:pPr>
            <w:r>
              <w:t xml:space="preserve">While C.S.H.B. 1342 may differ from the original in minor or nonsubstantive ways, the following comparison is </w:t>
            </w:r>
            <w:r>
              <w:t>organized and formatted in a manner that indicates the substantial differences between the introduced and committee substitute versions of the bill.</w:t>
            </w:r>
          </w:p>
          <w:p w:rsidR="00FE2883" w:rsidRDefault="00FB3351" w:rsidP="00B272AA">
            <w:pPr>
              <w:jc w:val="both"/>
            </w:pPr>
          </w:p>
          <w:p w:rsidR="00B272AA" w:rsidRDefault="00FB3351" w:rsidP="00B272AA">
            <w:pPr>
              <w:jc w:val="both"/>
            </w:pPr>
          </w:p>
          <w:p w:rsidR="00B272AA" w:rsidRPr="00CB6C10" w:rsidRDefault="00FB3351" w:rsidP="00B272AA">
            <w:pPr>
              <w:jc w:val="both"/>
            </w:pPr>
          </w:p>
        </w:tc>
      </w:tr>
      <w:tr w:rsidR="008B3233" w:rsidTr="0042609E">
        <w:tc>
          <w:tcPr>
            <w:tcW w:w="9582" w:type="dxa"/>
          </w:tcPr>
          <w:tbl>
            <w:tblPr>
              <w:tblW w:w="9346" w:type="dxa"/>
              <w:tblInd w:w="6" w:type="dxa"/>
              <w:tblCellMar>
                <w:left w:w="10" w:type="dxa"/>
                <w:bottom w:w="288" w:type="dxa"/>
                <w:right w:w="10" w:type="dxa"/>
              </w:tblCellMar>
              <w:tblLook w:val="01E0" w:firstRow="1" w:lastRow="1" w:firstColumn="1" w:lastColumn="1" w:noHBand="0" w:noVBand="0"/>
            </w:tblPr>
            <w:tblGrid>
              <w:gridCol w:w="4673"/>
              <w:gridCol w:w="4673"/>
            </w:tblGrid>
            <w:tr w:rsidR="008B3233" w:rsidTr="0042609E">
              <w:trPr>
                <w:cantSplit/>
                <w:tblHeader/>
              </w:trPr>
              <w:tc>
                <w:tcPr>
                  <w:tcW w:w="4673" w:type="dxa"/>
                  <w:tcMar>
                    <w:bottom w:w="188" w:type="dxa"/>
                  </w:tcMar>
                </w:tcPr>
                <w:p w:rsidR="0042609E" w:rsidRDefault="00FB3351" w:rsidP="00B272AA">
                  <w:pPr>
                    <w:jc w:val="center"/>
                  </w:pPr>
                  <w:r>
                    <w:lastRenderedPageBreak/>
                    <w:t>INTRODUCED</w:t>
                  </w:r>
                </w:p>
              </w:tc>
              <w:tc>
                <w:tcPr>
                  <w:tcW w:w="4673" w:type="dxa"/>
                  <w:tcMar>
                    <w:bottom w:w="188" w:type="dxa"/>
                  </w:tcMar>
                </w:tcPr>
                <w:p w:rsidR="0042609E" w:rsidRDefault="00FB3351" w:rsidP="00B272AA">
                  <w:pPr>
                    <w:jc w:val="center"/>
                  </w:pPr>
                  <w:r>
                    <w:t>HOUSE COMMITTEE SUBSTITUTE</w:t>
                  </w:r>
                </w:p>
              </w:tc>
            </w:tr>
            <w:tr w:rsidR="008B3233" w:rsidTr="0042609E">
              <w:tc>
                <w:tcPr>
                  <w:tcW w:w="4673" w:type="dxa"/>
                  <w:tcMar>
                    <w:righ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 xml:space="preserve">SECTION 1.  Section 38.004, Education Code, is amended by </w:t>
                  </w:r>
                  <w:r>
                    <w:t>amending Subsection (b) and adding Subsections (c) and (d) to read as follows: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t>(b)  Each school district shall provide child abuse antivictimization programs in elementary and secondary schools.</w:t>
                  </w:r>
                  <w:r>
                    <w:rPr>
                      <w:u w:val="single"/>
                    </w:rPr>
                    <w:t xml:space="preserve"> The programs must include annual age-appropriate, </w:t>
                  </w:r>
                  <w:r w:rsidRPr="007A1434">
                    <w:rPr>
                      <w:highlight w:val="lightGray"/>
                      <w:u w:val="single"/>
                    </w:rPr>
                    <w:t>evidence-ba</w:t>
                  </w:r>
                  <w:r w:rsidRPr="007A1434">
                    <w:rPr>
                      <w:highlight w:val="lightGray"/>
                      <w:u w:val="single"/>
                    </w:rPr>
                    <w:t>sed</w:t>
                  </w:r>
                  <w:r>
                    <w:rPr>
                      <w:u w:val="single"/>
                    </w:rPr>
                    <w:t xml:space="preserve"> child sexual abuse prevention training designed to promote self-protection, prevent sexual abuse of children, and reduce child pregnancy.  The district shall: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(1)  ensure that each student enrolled in the district attends the training each year; and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(2</w:t>
                  </w:r>
                  <w:r>
                    <w:rPr>
                      <w:u w:val="single"/>
                    </w:rPr>
                    <w:t>)  provide at least two opportunities each year for a student to attend the training required that year.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(c)  Not later than September 1 of each year, each school district shall submit to the agency a report on the number and percentage of students enrolle</w:t>
                  </w:r>
                  <w:r>
                    <w:rPr>
                      <w:u w:val="single"/>
                    </w:rPr>
                    <w:t>d in the district who attended the child sexual abuse prevention training required by Subsection (b) during the preceding school year.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(d)  In this section, "child pregnancy" means pregnancy in children under 15 years of age.</w:t>
                  </w:r>
                </w:p>
                <w:p w:rsidR="0042609E" w:rsidRDefault="00FB3351" w:rsidP="00B272AA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>SECTION 1.  Section 38.004, E</w:t>
                  </w:r>
                  <w:r>
                    <w:t>ducation Code, is amended by amending Subsection (b) and adding Subsections (c) and (d) to read as follows: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t xml:space="preserve">(b)  Each school district shall provide child abuse antivictimization programs in elementary and secondary schools.  </w:t>
                  </w:r>
                  <w:r>
                    <w:rPr>
                      <w:u w:val="single"/>
                    </w:rPr>
                    <w:t>The programs must include annua</w:t>
                  </w:r>
                  <w:r>
                    <w:rPr>
                      <w:u w:val="single"/>
                    </w:rPr>
                    <w:t xml:space="preserve">l age-appropriate, </w:t>
                  </w:r>
                  <w:r w:rsidRPr="007A1434">
                    <w:rPr>
                      <w:highlight w:val="lightGray"/>
                      <w:u w:val="single"/>
                    </w:rPr>
                    <w:t>research-based</w:t>
                  </w:r>
                  <w:r>
                    <w:rPr>
                      <w:u w:val="single"/>
                    </w:rPr>
                    <w:t xml:space="preserve"> child sexual abuse prevention training designed to promote self-protection, prevent sexual abuse </w:t>
                  </w:r>
                  <w:r w:rsidRPr="007A1434">
                    <w:rPr>
                      <w:highlight w:val="lightGray"/>
                      <w:u w:val="single"/>
                    </w:rPr>
                    <w:t>and trafficking</w:t>
                  </w:r>
                  <w:r>
                    <w:rPr>
                      <w:u w:val="single"/>
                    </w:rPr>
                    <w:t xml:space="preserve"> of children, and reduce child pregnancy.  The district shall: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(1)  ensure that each student enrolled in the d</w:t>
                  </w:r>
                  <w:r>
                    <w:rPr>
                      <w:u w:val="single"/>
                    </w:rPr>
                    <w:t>istrict attends the training each year; and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(2)  provide at least two opportunities each year for a student to attend the training required that year.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(c)  Not later than September 1 of each year, each school district shall submit to the agency a report on</w:t>
                  </w:r>
                  <w:r>
                    <w:rPr>
                      <w:u w:val="single"/>
                    </w:rPr>
                    <w:t xml:space="preserve"> the number and percentage of students enrolled in the district who attended the child sexual abuse prevention training required by Subsection (b) during the preceding school year.</w:t>
                  </w:r>
                </w:p>
                <w:p w:rsidR="0042609E" w:rsidRDefault="00FB3351" w:rsidP="00B272AA">
                  <w:pPr>
                    <w:jc w:val="both"/>
                  </w:pPr>
                  <w:r>
                    <w:rPr>
                      <w:u w:val="single"/>
                    </w:rPr>
                    <w:t>(d)  In this section, "child pregnancy" means pregnancy in children under 1</w:t>
                  </w:r>
                  <w:r>
                    <w:rPr>
                      <w:u w:val="single"/>
                    </w:rPr>
                    <w:t>5 years of age.</w:t>
                  </w:r>
                </w:p>
                <w:p w:rsidR="0042609E" w:rsidRDefault="00FB3351" w:rsidP="00B272AA">
                  <w:pPr>
                    <w:jc w:val="both"/>
                  </w:pPr>
                </w:p>
              </w:tc>
            </w:tr>
            <w:tr w:rsidR="008B3233" w:rsidTr="0042609E">
              <w:tc>
                <w:tcPr>
                  <w:tcW w:w="4673" w:type="dxa"/>
                  <w:tcMar>
                    <w:righ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>SECTION 2.  A school district shall submit the initial report required by Section 38.004(c), Education Code, as added by this Act, not later than September 1, 2018.</w:t>
                  </w:r>
                </w:p>
                <w:p w:rsidR="0042609E" w:rsidRDefault="00FB3351" w:rsidP="00B272AA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>SECTION 2. Same as introduced version.</w:t>
                  </w:r>
                </w:p>
                <w:p w:rsidR="0042609E" w:rsidRDefault="00FB3351" w:rsidP="00B272AA">
                  <w:pPr>
                    <w:jc w:val="both"/>
                  </w:pPr>
                </w:p>
                <w:p w:rsidR="0042609E" w:rsidRDefault="00FB3351" w:rsidP="00B272AA">
                  <w:pPr>
                    <w:jc w:val="both"/>
                  </w:pPr>
                </w:p>
              </w:tc>
            </w:tr>
            <w:tr w:rsidR="008B3233" w:rsidTr="0042609E">
              <w:tc>
                <w:tcPr>
                  <w:tcW w:w="4673" w:type="dxa"/>
                  <w:tcMar>
                    <w:righ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>SECTION 3.  This Act applies b</w:t>
                  </w:r>
                  <w:r>
                    <w:t>eginning with the 2017-2018 school year.</w:t>
                  </w:r>
                </w:p>
                <w:p w:rsidR="0042609E" w:rsidRDefault="00FB3351" w:rsidP="00B272AA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>SECTION 3. Same as introduced version.</w:t>
                  </w:r>
                </w:p>
                <w:p w:rsidR="0042609E" w:rsidRDefault="00FB3351" w:rsidP="00B272AA">
                  <w:pPr>
                    <w:jc w:val="both"/>
                  </w:pPr>
                </w:p>
                <w:p w:rsidR="0042609E" w:rsidRDefault="00FB3351" w:rsidP="00B272AA">
                  <w:pPr>
                    <w:jc w:val="both"/>
                  </w:pPr>
                </w:p>
              </w:tc>
            </w:tr>
            <w:tr w:rsidR="008B3233" w:rsidTr="0042609E">
              <w:tc>
                <w:tcPr>
                  <w:tcW w:w="4673" w:type="dxa"/>
                  <w:tcMar>
                    <w:righ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>SECTION 4.  This Act takes effect immediately if it receives a vote of two-thirds of all the members elected to each house, as provided by Section 39, Article III, Texas Co</w:t>
                  </w:r>
                  <w:r>
                    <w:t>nstitution.  If this Act does not receive the vote necessary for immediate effect, this Act takes effect September 1, 2017.</w:t>
                  </w:r>
                </w:p>
                <w:p w:rsidR="0042609E" w:rsidRDefault="00FB3351" w:rsidP="00B272AA">
                  <w:pPr>
                    <w:jc w:val="both"/>
                  </w:pPr>
                </w:p>
              </w:tc>
              <w:tc>
                <w:tcPr>
                  <w:tcW w:w="4673" w:type="dxa"/>
                  <w:tcMar>
                    <w:left w:w="360" w:type="dxa"/>
                  </w:tcMar>
                </w:tcPr>
                <w:p w:rsidR="0042609E" w:rsidRDefault="00FB3351" w:rsidP="00B272AA">
                  <w:pPr>
                    <w:jc w:val="both"/>
                  </w:pPr>
                  <w:r>
                    <w:t>SECTION 4. Same as introduced version.</w:t>
                  </w:r>
                </w:p>
                <w:p w:rsidR="0042609E" w:rsidRDefault="00FB3351" w:rsidP="00B272AA">
                  <w:pPr>
                    <w:jc w:val="both"/>
                  </w:pPr>
                </w:p>
                <w:p w:rsidR="0042609E" w:rsidRDefault="00FB3351" w:rsidP="00B272AA">
                  <w:pPr>
                    <w:jc w:val="both"/>
                  </w:pPr>
                </w:p>
              </w:tc>
            </w:tr>
          </w:tbl>
          <w:p w:rsidR="0042609E" w:rsidRDefault="00FB3351" w:rsidP="00B272AA"/>
          <w:p w:rsidR="0042609E" w:rsidRPr="009C1E9A" w:rsidRDefault="00FB3351" w:rsidP="00B272AA">
            <w:pPr>
              <w:rPr>
                <w:b/>
                <w:u w:val="single"/>
              </w:rPr>
            </w:pPr>
          </w:p>
        </w:tc>
      </w:tr>
    </w:tbl>
    <w:p w:rsidR="008423E4" w:rsidRPr="00BE0E75" w:rsidRDefault="00FB3351" w:rsidP="008423E4">
      <w:pPr>
        <w:spacing w:line="480" w:lineRule="auto"/>
        <w:jc w:val="both"/>
        <w:rPr>
          <w:rFonts w:ascii="Arial" w:hAnsi="Arial"/>
          <w:sz w:val="16"/>
          <w:szCs w:val="16"/>
        </w:rPr>
      </w:pPr>
    </w:p>
    <w:p w:rsidR="004108C3" w:rsidRPr="008423E4" w:rsidRDefault="00FB3351" w:rsidP="008423E4"/>
    <w:sectPr w:rsidR="004108C3" w:rsidRPr="008423E4" w:rsidSect="006D504F">
      <w:footerReference w:type="default" r:id="rId7"/>
      <w:pgSz w:w="12240" w:h="20160" w:code="5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FB3351">
      <w:r>
        <w:separator/>
      </w:r>
    </w:p>
  </w:endnote>
  <w:endnote w:type="continuationSeparator" w:id="0">
    <w:p w:rsidR="00000000" w:rsidRDefault="00FB33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hruti">
    <w:panose1 w:val="020B0502040204020203"/>
    <w:charset w:val="00"/>
    <w:family w:val="swiss"/>
    <w:pitch w:val="variable"/>
    <w:sig w:usb0="0004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4944" w:type="pct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6"/>
      <w:gridCol w:w="4569"/>
      <w:gridCol w:w="4680"/>
    </w:tblGrid>
    <w:tr w:rsidR="008B3233" w:rsidTr="009C1E9A">
      <w:trPr>
        <w:cantSplit/>
      </w:trPr>
      <w:tc>
        <w:tcPr>
          <w:tcW w:w="0" w:type="pct"/>
        </w:tcPr>
        <w:p w:rsidR="00137D90" w:rsidRDefault="00FB335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137D90" w:rsidRDefault="00FB335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A4310" w:rsidRDefault="00FB3351" w:rsidP="009C1E9A">
          <w:pPr>
            <w:pStyle w:val="Footer"/>
            <w:tabs>
              <w:tab w:val="clear" w:pos="8640"/>
              <w:tab w:val="right" w:pos="9360"/>
            </w:tabs>
          </w:pPr>
        </w:p>
        <w:p w:rsidR="00137D90" w:rsidRDefault="00FB335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453" w:type="pct"/>
        </w:tcPr>
        <w:p w:rsidR="00137D90" w:rsidRDefault="00FB335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B3233" w:rsidTr="009C1E9A">
      <w:trPr>
        <w:cantSplit/>
      </w:trPr>
      <w:tc>
        <w:tcPr>
          <w:tcW w:w="0" w:type="pct"/>
        </w:tcPr>
        <w:p w:rsidR="00EC379B" w:rsidRDefault="00FB3351" w:rsidP="009C1E9A">
          <w:pPr>
            <w:pStyle w:val="Footer"/>
            <w:tabs>
              <w:tab w:val="clear" w:pos="8640"/>
              <w:tab w:val="right" w:pos="9360"/>
            </w:tabs>
          </w:pPr>
        </w:p>
      </w:tc>
      <w:tc>
        <w:tcPr>
          <w:tcW w:w="2395" w:type="pct"/>
        </w:tcPr>
        <w:p w:rsidR="00EC379B" w:rsidRPr="009C1E9A" w:rsidRDefault="00FB3351" w:rsidP="009C1E9A">
          <w:pPr>
            <w:pStyle w:val="Footer"/>
            <w:tabs>
              <w:tab w:val="clear" w:pos="8640"/>
              <w:tab w:val="right" w:pos="9360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 xml:space="preserve">85R </w:t>
          </w:r>
          <w:r>
            <w:rPr>
              <w:rFonts w:ascii="Shruti" w:hAnsi="Shruti"/>
              <w:sz w:val="22"/>
            </w:rPr>
            <w:t>24098</w:t>
          </w:r>
        </w:p>
      </w:tc>
      <w:tc>
        <w:tcPr>
          <w:tcW w:w="2453" w:type="pct"/>
        </w:tcPr>
        <w:p w:rsidR="00EC379B" w:rsidRDefault="00FB335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  <w:r>
            <w:fldChar w:fldCharType="begin"/>
          </w:r>
          <w:r>
            <w:instrText xml:space="preserve"> DOCPROPERTY  OTID  \* MERGEFORMAT </w:instrText>
          </w:r>
          <w:r>
            <w:fldChar w:fldCharType="separate"/>
          </w:r>
          <w:r>
            <w:t>17.107.859</w:t>
          </w:r>
          <w:r>
            <w:fldChar w:fldCharType="end"/>
          </w:r>
        </w:p>
      </w:tc>
    </w:tr>
    <w:tr w:rsidR="008B3233" w:rsidTr="009C1E9A">
      <w:trPr>
        <w:cantSplit/>
      </w:trPr>
      <w:tc>
        <w:tcPr>
          <w:tcW w:w="0" w:type="pct"/>
        </w:tcPr>
        <w:p w:rsidR="00EC379B" w:rsidRDefault="00FB335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</w:pPr>
        </w:p>
      </w:tc>
      <w:tc>
        <w:tcPr>
          <w:tcW w:w="2395" w:type="pct"/>
        </w:tcPr>
        <w:p w:rsidR="00EC379B" w:rsidRPr="009C1E9A" w:rsidRDefault="00FB3351" w:rsidP="009C1E9A">
          <w:pPr>
            <w:pStyle w:val="Footer"/>
            <w:tabs>
              <w:tab w:val="clear" w:pos="4320"/>
              <w:tab w:val="clear" w:pos="8640"/>
              <w:tab w:val="left" w:pos="2865"/>
            </w:tabs>
            <w:rPr>
              <w:rFonts w:ascii="Shruti" w:hAnsi="Shruti"/>
              <w:sz w:val="22"/>
            </w:rPr>
          </w:pPr>
          <w:r>
            <w:rPr>
              <w:rFonts w:ascii="Shruti" w:hAnsi="Shruti"/>
              <w:sz w:val="22"/>
            </w:rPr>
            <w:t>Substitute Document Number: 85R 22353</w:t>
          </w:r>
        </w:p>
      </w:tc>
      <w:tc>
        <w:tcPr>
          <w:tcW w:w="2453" w:type="pct"/>
        </w:tcPr>
        <w:p w:rsidR="00EC379B" w:rsidRDefault="00FB3351" w:rsidP="006D504F">
          <w:pPr>
            <w:pStyle w:val="Footer"/>
            <w:rPr>
              <w:rStyle w:val="PageNumber"/>
            </w:rPr>
          </w:pPr>
        </w:p>
        <w:p w:rsidR="00EC379B" w:rsidRDefault="00FB3351" w:rsidP="009C1E9A">
          <w:pPr>
            <w:pStyle w:val="Footer"/>
            <w:tabs>
              <w:tab w:val="clear" w:pos="8640"/>
              <w:tab w:val="right" w:pos="9360"/>
            </w:tabs>
            <w:jc w:val="right"/>
          </w:pPr>
        </w:p>
      </w:tc>
    </w:tr>
    <w:tr w:rsidR="008B3233" w:rsidTr="009C1E9A">
      <w:trPr>
        <w:cantSplit/>
        <w:trHeight w:val="323"/>
      </w:trPr>
      <w:tc>
        <w:tcPr>
          <w:tcW w:w="0" w:type="pct"/>
          <w:gridSpan w:val="3"/>
        </w:tcPr>
        <w:p w:rsidR="00EC379B" w:rsidRDefault="00FB3351" w:rsidP="009C1E9A">
          <w:pPr>
            <w:pStyle w:val="Footer"/>
            <w:jc w:val="center"/>
            <w:rPr>
              <w:rStyle w:val="PageNumber"/>
            </w:rPr>
          </w:pPr>
          <w:r>
            <w:rPr>
              <w:rStyle w:val="PageNumber"/>
            </w:rPr>
            <w:fldChar w:fldCharType="begin"/>
          </w:r>
          <w:r>
            <w:rPr>
              <w:rStyle w:val="PageNumber"/>
            </w:rPr>
            <w:instrText xml:space="preserve">PAGE  </w:instrText>
          </w:r>
          <w:r>
            <w:rPr>
              <w:rStyle w:val="PageNumber"/>
            </w:rPr>
            <w:fldChar w:fldCharType="separate"/>
          </w:r>
          <w:r>
            <w:rPr>
              <w:rStyle w:val="PageNumber"/>
              <w:noProof/>
            </w:rPr>
            <w:t>1</w:t>
          </w:r>
          <w:r>
            <w:rPr>
              <w:rStyle w:val="PageNumber"/>
            </w:rPr>
            <w:fldChar w:fldCharType="end"/>
          </w:r>
        </w:p>
        <w:p w:rsidR="00EC379B" w:rsidRDefault="00FB3351" w:rsidP="009C1E9A">
          <w:pPr>
            <w:pStyle w:val="Footer"/>
            <w:tabs>
              <w:tab w:val="clear" w:pos="8640"/>
              <w:tab w:val="right" w:pos="9360"/>
            </w:tabs>
            <w:jc w:val="center"/>
          </w:pPr>
        </w:p>
      </w:tc>
    </w:tr>
  </w:tbl>
  <w:p w:rsidR="00EC379B" w:rsidRPr="00FF6F72" w:rsidRDefault="00FB3351" w:rsidP="006D504F">
    <w:pPr>
      <w:pStyle w:val="Footer"/>
      <w:tabs>
        <w:tab w:val="clear" w:pos="8640"/>
        <w:tab w:val="right" w:pos="9360"/>
      </w:tabs>
      <w:rPr>
        <w:sz w:val="6"/>
        <w:szCs w:val="6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FB3351">
      <w:r>
        <w:separator/>
      </w:r>
    </w:p>
  </w:footnote>
  <w:footnote w:type="continuationSeparator" w:id="0">
    <w:p w:rsidR="00000000" w:rsidRDefault="00FB335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50000" w:hash="0zYnEPyJz+76Ggropc3EMfRlGMU=" w:salt="hIqOl99kIr/+N0hyovEq7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B3233"/>
    <w:rsid w:val="008B3233"/>
    <w:rsid w:val="00FB33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D4D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4DC1"/>
  </w:style>
  <w:style w:type="paragraph" w:styleId="CommentSubject">
    <w:name w:val="annotation subject"/>
    <w:basedOn w:val="CommentText"/>
    <w:next w:val="CommentText"/>
    <w:link w:val="CommentSubjectChar"/>
    <w:rsid w:val="007D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DC1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B4B73"/>
    <w:rPr>
      <w:sz w:val="24"/>
      <w:szCs w:val="24"/>
    </w:rPr>
  </w:style>
  <w:style w:type="paragraph" w:styleId="Heading1">
    <w:name w:val="heading 1"/>
    <w:basedOn w:val="Normal"/>
    <w:next w:val="Normal"/>
    <w:link w:val="Heading1Char"/>
    <w:qFormat/>
    <w:rsid w:val="00DF0834"/>
    <w:pPr>
      <w:keepNext/>
      <w:jc w:val="center"/>
      <w:outlineLvl w:val="0"/>
    </w:pPr>
    <w:rPr>
      <w:b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BD513B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BD513B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BD513B"/>
  </w:style>
  <w:style w:type="paragraph" w:styleId="BalloonText">
    <w:name w:val="Balloon Text"/>
    <w:basedOn w:val="Normal"/>
    <w:semiHidden/>
    <w:rsid w:val="00A232E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86199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rsid w:val="008423E4"/>
    <w:rPr>
      <w:b/>
      <w:sz w:val="24"/>
      <w:szCs w:val="24"/>
      <w:u w:val="single"/>
    </w:rPr>
  </w:style>
  <w:style w:type="character" w:customStyle="1" w:styleId="HeaderChar">
    <w:name w:val="Header Char"/>
    <w:basedOn w:val="DefaultParagraphFont"/>
    <w:link w:val="Header"/>
    <w:rsid w:val="008423E4"/>
    <w:rPr>
      <w:sz w:val="24"/>
      <w:szCs w:val="24"/>
    </w:rPr>
  </w:style>
  <w:style w:type="character" w:styleId="CommentReference">
    <w:name w:val="annotation reference"/>
    <w:basedOn w:val="DefaultParagraphFont"/>
    <w:rsid w:val="007D4DC1"/>
    <w:rPr>
      <w:sz w:val="16"/>
      <w:szCs w:val="16"/>
    </w:rPr>
  </w:style>
  <w:style w:type="paragraph" w:styleId="CommentText">
    <w:name w:val="annotation text"/>
    <w:basedOn w:val="Normal"/>
    <w:link w:val="CommentTextChar"/>
    <w:rsid w:val="007D4DC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7D4DC1"/>
  </w:style>
  <w:style w:type="paragraph" w:styleId="CommentSubject">
    <w:name w:val="annotation subject"/>
    <w:basedOn w:val="CommentText"/>
    <w:next w:val="CommentText"/>
    <w:link w:val="CommentSubjectChar"/>
    <w:rsid w:val="007D4DC1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7D4DC1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785</Words>
  <Characters>4348</Characters>
  <Application>Microsoft Office Word</Application>
  <DocSecurity>4</DocSecurity>
  <Lines>142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BA - HB01342 (Committee Report (Substituted))</vt:lpstr>
    </vt:vector>
  </TitlesOfParts>
  <Company>State of Texas</Company>
  <LinksUpToDate>false</LinksUpToDate>
  <CharactersWithSpaces>5119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DOCX</dc:title>
  <dc:subject>85R 24098</dc:subject>
  <dc:creator>State of Texas</dc:creator>
  <dc:description>HB 1342 by Parker-(H)Public Education (Substitute Document Number: 85R 22353)</dc:description>
  <cp:lastModifiedBy>Molly Hoffman-Bricker</cp:lastModifiedBy>
  <cp:revision>2</cp:revision>
  <cp:lastPrinted>2017-04-19T18:20:00Z</cp:lastPrinted>
  <dcterms:created xsi:type="dcterms:W3CDTF">2017-04-24T19:20:00Z</dcterms:created>
  <dcterms:modified xsi:type="dcterms:W3CDTF">2017-04-24T19:20:00Z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TID">
    <vt:lpwstr>17.107.859</vt:lpwstr>
  </property>
</Properties>
</file>