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0B4337" w:rsidTr="00345119">
        <w:tc>
          <w:tcPr>
            <w:tcW w:w="9576" w:type="dxa"/>
            <w:noWrap/>
          </w:tcPr>
          <w:p w:rsidR="008423E4" w:rsidRPr="0022177D" w:rsidRDefault="00D82C79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D82C79" w:rsidP="008423E4">
      <w:pPr>
        <w:jc w:val="center"/>
      </w:pPr>
    </w:p>
    <w:p w:rsidR="008423E4" w:rsidRPr="00B31F0E" w:rsidRDefault="00D82C79" w:rsidP="008423E4"/>
    <w:p w:rsidR="008423E4" w:rsidRPr="00742794" w:rsidRDefault="00D82C79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0B4337" w:rsidTr="00345119">
        <w:tc>
          <w:tcPr>
            <w:tcW w:w="9576" w:type="dxa"/>
          </w:tcPr>
          <w:p w:rsidR="008423E4" w:rsidRPr="00861995" w:rsidRDefault="00D82C79" w:rsidP="00345119">
            <w:pPr>
              <w:jc w:val="right"/>
            </w:pPr>
            <w:r>
              <w:t>H.B. 978</w:t>
            </w:r>
          </w:p>
        </w:tc>
      </w:tr>
      <w:tr w:rsidR="000B4337" w:rsidTr="00345119">
        <w:tc>
          <w:tcPr>
            <w:tcW w:w="9576" w:type="dxa"/>
          </w:tcPr>
          <w:p w:rsidR="008423E4" w:rsidRPr="00861995" w:rsidRDefault="00D82C79" w:rsidP="006D7F95">
            <w:pPr>
              <w:jc w:val="right"/>
            </w:pPr>
            <w:r>
              <w:t xml:space="preserve">By: </w:t>
            </w:r>
            <w:r>
              <w:t>Murr</w:t>
            </w:r>
          </w:p>
        </w:tc>
      </w:tr>
      <w:tr w:rsidR="000B4337" w:rsidTr="00345119">
        <w:tc>
          <w:tcPr>
            <w:tcW w:w="9576" w:type="dxa"/>
          </w:tcPr>
          <w:p w:rsidR="008423E4" w:rsidRPr="00861995" w:rsidRDefault="00D82C79" w:rsidP="00345119">
            <w:pPr>
              <w:jc w:val="right"/>
            </w:pPr>
            <w:r>
              <w:t>Criminal Jurisprudence</w:t>
            </w:r>
          </w:p>
        </w:tc>
      </w:tr>
      <w:tr w:rsidR="000B4337" w:rsidTr="00345119">
        <w:tc>
          <w:tcPr>
            <w:tcW w:w="9576" w:type="dxa"/>
          </w:tcPr>
          <w:p w:rsidR="008423E4" w:rsidRDefault="00D82C79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D82C79" w:rsidP="008423E4">
      <w:pPr>
        <w:tabs>
          <w:tab w:val="right" w:pos="9360"/>
        </w:tabs>
      </w:pPr>
    </w:p>
    <w:p w:rsidR="008423E4" w:rsidRDefault="00D82C79" w:rsidP="008423E4"/>
    <w:p w:rsidR="008423E4" w:rsidRDefault="00D82C79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0B4337" w:rsidTr="00345119">
        <w:tc>
          <w:tcPr>
            <w:tcW w:w="9576" w:type="dxa"/>
          </w:tcPr>
          <w:p w:rsidR="008423E4" w:rsidRPr="00A8133F" w:rsidRDefault="00D82C79" w:rsidP="00AB0EA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D82C79" w:rsidP="00AB0EA9"/>
          <w:p w:rsidR="008423E4" w:rsidRDefault="00D82C79" w:rsidP="00AB0EA9">
            <w:pPr>
              <w:pStyle w:val="Header"/>
              <w:jc w:val="both"/>
            </w:pPr>
            <w:r>
              <w:t xml:space="preserve">Interested parties contend that the </w:t>
            </w:r>
            <w:r>
              <w:t xml:space="preserve">Texas Indigent Defense Commission </w:t>
            </w:r>
            <w:r>
              <w:t xml:space="preserve">periodically experiences lengthy vacancies because board member term lengths do not reflect the time it takes to </w:t>
            </w:r>
            <w:r>
              <w:t>cultivat</w:t>
            </w:r>
            <w:r>
              <w:t xml:space="preserve">e </w:t>
            </w:r>
            <w:r>
              <w:t>and vet qualified candidates</w:t>
            </w:r>
            <w:r>
              <w:t xml:space="preserve">. H.B. 978 seeks to address this issue by extending the term length for commission board members. </w:t>
            </w:r>
          </w:p>
          <w:p w:rsidR="008423E4" w:rsidRPr="00E26B13" w:rsidRDefault="00D82C79" w:rsidP="00AB0EA9">
            <w:pPr>
              <w:rPr>
                <w:b/>
              </w:rPr>
            </w:pPr>
          </w:p>
        </w:tc>
      </w:tr>
      <w:tr w:rsidR="000B4337" w:rsidTr="00345119">
        <w:tc>
          <w:tcPr>
            <w:tcW w:w="9576" w:type="dxa"/>
          </w:tcPr>
          <w:p w:rsidR="0017725B" w:rsidRDefault="00D82C79" w:rsidP="00AB0EA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</w:t>
            </w:r>
            <w:r>
              <w:rPr>
                <w:b/>
                <w:u w:val="single"/>
              </w:rPr>
              <w:t>INAL JUSTICE IMPACT</w:t>
            </w:r>
          </w:p>
          <w:p w:rsidR="0017725B" w:rsidRDefault="00D82C79" w:rsidP="00AB0EA9">
            <w:pPr>
              <w:rPr>
                <w:b/>
                <w:u w:val="single"/>
              </w:rPr>
            </w:pPr>
          </w:p>
          <w:p w:rsidR="00FC3365" w:rsidRPr="00FC3365" w:rsidRDefault="00D82C79" w:rsidP="00AB0EA9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</w:t>
            </w:r>
            <w:r>
              <w:t>n, parole, or mandatory supervision.</w:t>
            </w:r>
          </w:p>
          <w:p w:rsidR="0017725B" w:rsidRPr="0017725B" w:rsidRDefault="00D82C79" w:rsidP="00AB0EA9">
            <w:pPr>
              <w:rPr>
                <w:b/>
                <w:u w:val="single"/>
              </w:rPr>
            </w:pPr>
          </w:p>
        </w:tc>
      </w:tr>
      <w:tr w:rsidR="000B4337" w:rsidTr="00345119">
        <w:tc>
          <w:tcPr>
            <w:tcW w:w="9576" w:type="dxa"/>
          </w:tcPr>
          <w:p w:rsidR="008423E4" w:rsidRPr="00A8133F" w:rsidRDefault="00D82C79" w:rsidP="00AB0EA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D82C79" w:rsidP="00AB0EA9"/>
          <w:p w:rsidR="00FC3365" w:rsidRDefault="00D82C79" w:rsidP="00AB0EA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D82C79" w:rsidP="00AB0EA9">
            <w:pPr>
              <w:rPr>
                <w:b/>
              </w:rPr>
            </w:pPr>
          </w:p>
        </w:tc>
      </w:tr>
      <w:tr w:rsidR="000B4337" w:rsidTr="00345119">
        <w:tc>
          <w:tcPr>
            <w:tcW w:w="9576" w:type="dxa"/>
          </w:tcPr>
          <w:p w:rsidR="008423E4" w:rsidRPr="00A8133F" w:rsidRDefault="00D82C79" w:rsidP="00AB0EA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D82C79" w:rsidP="00AB0EA9"/>
          <w:p w:rsidR="008423E4" w:rsidRDefault="00D82C79" w:rsidP="00AB0EA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978 amends the</w:t>
            </w:r>
            <w:r>
              <w:t xml:space="preserve"> Government Code to</w:t>
            </w:r>
            <w:r>
              <w:t xml:space="preserve"> </w:t>
            </w:r>
            <w:r>
              <w:t xml:space="preserve">extend </w:t>
            </w:r>
            <w:r>
              <w:t xml:space="preserve">the term length for the board members of the Texas Indigent Defense Commission from two </w:t>
            </w:r>
            <w:r>
              <w:t xml:space="preserve">years </w:t>
            </w:r>
            <w:r>
              <w:t>to six years</w:t>
            </w:r>
            <w:r>
              <w:t>,</w:t>
            </w:r>
            <w:r>
              <w:t xml:space="preserve"> to specify that one or two members' terms expire February 1 of each odd-numbered year</w:t>
            </w:r>
            <w:r>
              <w:t>, and to remove a p</w:t>
            </w:r>
            <w:r>
              <w:t xml:space="preserve">rovision setting </w:t>
            </w:r>
            <w:r>
              <w:t>certain member</w:t>
            </w:r>
            <w:r>
              <w:t>s</w:t>
            </w:r>
            <w:r>
              <w:t>'</w:t>
            </w:r>
            <w:r>
              <w:t xml:space="preserve"> terms to expire in each even-numbered year</w:t>
            </w:r>
            <w:r>
              <w:t>.</w:t>
            </w:r>
            <w:r>
              <w:t xml:space="preserve"> The bill authorizes the members </w:t>
            </w:r>
            <w:r w:rsidRPr="00A72D6F">
              <w:t xml:space="preserve">serving on the </w:t>
            </w:r>
            <w:r>
              <w:t xml:space="preserve">bill's </w:t>
            </w:r>
            <w:r w:rsidRPr="00A72D6F">
              <w:t xml:space="preserve">effective date </w:t>
            </w:r>
            <w:r>
              <w:t>to</w:t>
            </w:r>
            <w:r w:rsidRPr="00A72D6F">
              <w:t xml:space="preserve"> draw lots or use another method to determine the members who serve terms that expire on February 1, 2023, February 1</w:t>
            </w:r>
            <w:r>
              <w:t>, 2021,</w:t>
            </w:r>
            <w:r>
              <w:t xml:space="preserve"> </w:t>
            </w:r>
            <w:r>
              <w:t>or</w:t>
            </w:r>
            <w:r w:rsidRPr="00A72D6F">
              <w:t xml:space="preserve"> </w:t>
            </w:r>
            <w:r w:rsidRPr="00A72D6F">
              <w:t>February 1, 2019</w:t>
            </w:r>
            <w:r>
              <w:t>,</w:t>
            </w:r>
            <w:r>
              <w:t xml:space="preserve"> and </w:t>
            </w:r>
            <w:r>
              <w:t>establishes that the board members appointed to succeed the members serving on the bill's effective date serve six-year terms</w:t>
            </w:r>
            <w:r w:rsidRPr="00A72D6F">
              <w:t>.</w:t>
            </w:r>
          </w:p>
          <w:p w:rsidR="008423E4" w:rsidRPr="00835628" w:rsidRDefault="00D82C79" w:rsidP="00AB0EA9">
            <w:pPr>
              <w:rPr>
                <w:b/>
              </w:rPr>
            </w:pPr>
          </w:p>
        </w:tc>
      </w:tr>
      <w:tr w:rsidR="000B4337" w:rsidTr="00345119">
        <w:tc>
          <w:tcPr>
            <w:tcW w:w="9576" w:type="dxa"/>
          </w:tcPr>
          <w:p w:rsidR="008423E4" w:rsidRPr="00A8133F" w:rsidRDefault="00D82C79" w:rsidP="00AB0EA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D82C79" w:rsidP="00AB0EA9"/>
          <w:p w:rsidR="008423E4" w:rsidRPr="003624F2" w:rsidRDefault="00D82C79" w:rsidP="00AB0EA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D82C79" w:rsidP="00AB0EA9">
            <w:pPr>
              <w:rPr>
                <w:b/>
              </w:rPr>
            </w:pPr>
          </w:p>
        </w:tc>
      </w:tr>
    </w:tbl>
    <w:p w:rsidR="008423E4" w:rsidRPr="00CE46EF" w:rsidRDefault="00D82C79" w:rsidP="008423E4">
      <w:pPr>
        <w:spacing w:line="480" w:lineRule="auto"/>
        <w:jc w:val="both"/>
        <w:rPr>
          <w:rFonts w:ascii="Arial" w:hAnsi="Arial"/>
          <w:sz w:val="2"/>
          <w:szCs w:val="16"/>
        </w:rPr>
      </w:pPr>
    </w:p>
    <w:p w:rsidR="004108C3" w:rsidRPr="00CE46EF" w:rsidRDefault="00D82C79" w:rsidP="008423E4">
      <w:pPr>
        <w:rPr>
          <w:sz w:val="6"/>
        </w:rPr>
      </w:pPr>
    </w:p>
    <w:sectPr w:rsidR="004108C3" w:rsidRPr="00CE46EF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2C79">
      <w:r>
        <w:separator/>
      </w:r>
    </w:p>
  </w:endnote>
  <w:endnote w:type="continuationSeparator" w:id="0">
    <w:p w:rsidR="00000000" w:rsidRDefault="00D8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D82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0B4337" w:rsidTr="009C1E9A">
      <w:trPr>
        <w:cantSplit/>
      </w:trPr>
      <w:tc>
        <w:tcPr>
          <w:tcW w:w="0" w:type="pct"/>
        </w:tcPr>
        <w:p w:rsidR="00137D90" w:rsidRDefault="00D82C7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D82C7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D82C79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D82C7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D82C7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B4337" w:rsidTr="009C1E9A">
      <w:trPr>
        <w:cantSplit/>
      </w:trPr>
      <w:tc>
        <w:tcPr>
          <w:tcW w:w="0" w:type="pct"/>
        </w:tcPr>
        <w:p w:rsidR="00EC379B" w:rsidRDefault="00D82C79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D82C7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14857</w:t>
          </w:r>
        </w:p>
      </w:tc>
      <w:tc>
        <w:tcPr>
          <w:tcW w:w="2453" w:type="pct"/>
        </w:tcPr>
        <w:p w:rsidR="00EC379B" w:rsidRDefault="00D82C7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17.61.330</w:t>
          </w:r>
          <w:r>
            <w:fldChar w:fldCharType="end"/>
          </w:r>
        </w:p>
      </w:tc>
    </w:tr>
    <w:tr w:rsidR="000B4337" w:rsidTr="009C1E9A">
      <w:trPr>
        <w:cantSplit/>
      </w:trPr>
      <w:tc>
        <w:tcPr>
          <w:tcW w:w="0" w:type="pct"/>
        </w:tcPr>
        <w:p w:rsidR="00EC379B" w:rsidRDefault="00D82C7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D82C7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D82C79" w:rsidP="006D504F">
          <w:pPr>
            <w:pStyle w:val="Footer"/>
            <w:rPr>
              <w:rStyle w:val="PageNumber"/>
            </w:rPr>
          </w:pPr>
        </w:p>
        <w:p w:rsidR="00EC379B" w:rsidRDefault="00D82C7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0B433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D82C7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D82C79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D82C79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D82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82C79">
      <w:r>
        <w:separator/>
      </w:r>
    </w:p>
  </w:footnote>
  <w:footnote w:type="continuationSeparator" w:id="0">
    <w:p w:rsidR="00000000" w:rsidRDefault="00D8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D82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D82C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D82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37"/>
    <w:rsid w:val="000B4337"/>
    <w:rsid w:val="00D8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5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1708"/>
  </w:style>
  <w:style w:type="paragraph" w:styleId="CommentSubject">
    <w:name w:val="annotation subject"/>
    <w:basedOn w:val="CommentText"/>
    <w:next w:val="CommentText"/>
    <w:link w:val="CommentSubjectChar"/>
    <w:rsid w:val="0005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708"/>
    <w:rPr>
      <w:b/>
      <w:bCs/>
    </w:rPr>
  </w:style>
  <w:style w:type="paragraph" w:styleId="Revision">
    <w:name w:val="Revision"/>
    <w:hidden/>
    <w:uiPriority w:val="99"/>
    <w:semiHidden/>
    <w:rsid w:val="004A52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51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1708"/>
  </w:style>
  <w:style w:type="paragraph" w:styleId="CommentSubject">
    <w:name w:val="annotation subject"/>
    <w:basedOn w:val="CommentText"/>
    <w:next w:val="CommentText"/>
    <w:link w:val="CommentSubjectChar"/>
    <w:rsid w:val="0005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1708"/>
    <w:rPr>
      <w:b/>
      <w:bCs/>
    </w:rPr>
  </w:style>
  <w:style w:type="paragraph" w:styleId="Revision">
    <w:name w:val="Revision"/>
    <w:hidden/>
    <w:uiPriority w:val="99"/>
    <w:semiHidden/>
    <w:rsid w:val="004A5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1380</Characters>
  <Application>Microsoft Office Word</Application>
  <DocSecurity>4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HB00978 (Committee Report (Unamended))</vt:lpstr>
    </vt:vector>
  </TitlesOfParts>
  <Company>State of Texas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14857</dc:subject>
  <dc:creator>State of Texas</dc:creator>
  <dc:description>HB 978 by Murr-(H)Criminal Jurisprudence</dc:description>
  <cp:lastModifiedBy>Brianna Weis</cp:lastModifiedBy>
  <cp:revision>2</cp:revision>
  <cp:lastPrinted>2017-03-02T19:09:00Z</cp:lastPrinted>
  <dcterms:created xsi:type="dcterms:W3CDTF">2017-03-15T14:45:00Z</dcterms:created>
  <dcterms:modified xsi:type="dcterms:W3CDTF">2017-03-15T14:45:00Z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17.61.330</vt:lpwstr>
  </property>
</Properties>
</file>