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7D655A" w:rsidTr="00345119">
        <w:tc>
          <w:tcPr>
            <w:tcW w:w="9576" w:type="dxa"/>
            <w:noWrap/>
          </w:tcPr>
          <w:p w:rsidR="008423E4" w:rsidRPr="0022177D" w:rsidRDefault="00BD1E76" w:rsidP="00345119">
            <w:pPr>
              <w:pStyle w:val="Heading1"/>
            </w:pPr>
            <w:bookmarkStart w:id="0" w:name="_GoBack"/>
            <w:bookmarkEnd w:id="0"/>
            <w:r w:rsidRPr="00631897">
              <w:t>BILL ANALYSIS</w:t>
            </w:r>
          </w:p>
        </w:tc>
      </w:tr>
    </w:tbl>
    <w:p w:rsidR="008423E4" w:rsidRPr="0022177D" w:rsidRDefault="00BD1E76" w:rsidP="008423E4">
      <w:pPr>
        <w:jc w:val="center"/>
      </w:pPr>
    </w:p>
    <w:p w:rsidR="008423E4" w:rsidRPr="00B31F0E" w:rsidRDefault="00BD1E76" w:rsidP="008423E4"/>
    <w:p w:rsidR="008423E4" w:rsidRPr="00742794" w:rsidRDefault="00BD1E76" w:rsidP="008423E4">
      <w:pPr>
        <w:tabs>
          <w:tab w:val="right" w:pos="9360"/>
        </w:tabs>
      </w:pPr>
    </w:p>
    <w:tbl>
      <w:tblPr>
        <w:tblW w:w="0" w:type="auto"/>
        <w:tblLayout w:type="fixed"/>
        <w:tblLook w:val="01E0" w:firstRow="1" w:lastRow="1" w:firstColumn="1" w:lastColumn="1" w:noHBand="0" w:noVBand="0"/>
      </w:tblPr>
      <w:tblGrid>
        <w:gridCol w:w="9576"/>
      </w:tblGrid>
      <w:tr w:rsidR="007D655A" w:rsidTr="00345119">
        <w:tc>
          <w:tcPr>
            <w:tcW w:w="9576" w:type="dxa"/>
          </w:tcPr>
          <w:p w:rsidR="008423E4" w:rsidRPr="00861995" w:rsidRDefault="00BD1E76" w:rsidP="00345119">
            <w:pPr>
              <w:jc w:val="right"/>
            </w:pPr>
            <w:r>
              <w:t>H.B. 415</w:t>
            </w:r>
          </w:p>
        </w:tc>
      </w:tr>
      <w:tr w:rsidR="007D655A" w:rsidTr="00345119">
        <w:tc>
          <w:tcPr>
            <w:tcW w:w="9576" w:type="dxa"/>
          </w:tcPr>
          <w:p w:rsidR="008423E4" w:rsidRPr="00861995" w:rsidRDefault="00BD1E76" w:rsidP="00CC4CB0">
            <w:pPr>
              <w:jc w:val="right"/>
            </w:pPr>
            <w:r>
              <w:t xml:space="preserve">By: </w:t>
            </w:r>
            <w:r>
              <w:t>Minjarez</w:t>
            </w:r>
          </w:p>
        </w:tc>
      </w:tr>
      <w:tr w:rsidR="007D655A" w:rsidTr="00345119">
        <w:tc>
          <w:tcPr>
            <w:tcW w:w="9576" w:type="dxa"/>
          </w:tcPr>
          <w:p w:rsidR="008423E4" w:rsidRPr="00861995" w:rsidRDefault="00BD1E76" w:rsidP="00345119">
            <w:pPr>
              <w:jc w:val="right"/>
            </w:pPr>
            <w:r>
              <w:t>Criminal Jurisprudence</w:t>
            </w:r>
          </w:p>
        </w:tc>
      </w:tr>
      <w:tr w:rsidR="007D655A" w:rsidTr="00345119">
        <w:tc>
          <w:tcPr>
            <w:tcW w:w="9576" w:type="dxa"/>
          </w:tcPr>
          <w:p w:rsidR="008423E4" w:rsidRDefault="00BD1E76" w:rsidP="00345119">
            <w:pPr>
              <w:jc w:val="right"/>
            </w:pPr>
            <w:r>
              <w:t>Committee Report (Unamended)</w:t>
            </w:r>
          </w:p>
        </w:tc>
      </w:tr>
    </w:tbl>
    <w:p w:rsidR="008423E4" w:rsidRDefault="00BD1E76" w:rsidP="008423E4">
      <w:pPr>
        <w:tabs>
          <w:tab w:val="right" w:pos="9360"/>
        </w:tabs>
      </w:pPr>
    </w:p>
    <w:p w:rsidR="008423E4" w:rsidRDefault="00BD1E76" w:rsidP="008423E4"/>
    <w:p w:rsidR="008423E4" w:rsidRDefault="00BD1E76" w:rsidP="008423E4"/>
    <w:tbl>
      <w:tblPr>
        <w:tblW w:w="0" w:type="auto"/>
        <w:tblCellMar>
          <w:left w:w="115" w:type="dxa"/>
          <w:right w:w="115" w:type="dxa"/>
        </w:tblCellMar>
        <w:tblLook w:val="01E0" w:firstRow="1" w:lastRow="1" w:firstColumn="1" w:lastColumn="1" w:noHBand="0" w:noVBand="0"/>
      </w:tblPr>
      <w:tblGrid>
        <w:gridCol w:w="9576"/>
      </w:tblGrid>
      <w:tr w:rsidR="007D655A" w:rsidTr="00345119">
        <w:tc>
          <w:tcPr>
            <w:tcW w:w="9576" w:type="dxa"/>
          </w:tcPr>
          <w:p w:rsidR="008423E4" w:rsidRPr="00A8133F" w:rsidRDefault="00BD1E76" w:rsidP="00661D5D">
            <w:pPr>
              <w:rPr>
                <w:b/>
              </w:rPr>
            </w:pPr>
            <w:r w:rsidRPr="009C1E9A">
              <w:rPr>
                <w:b/>
                <w:u w:val="single"/>
              </w:rPr>
              <w:t>BACKGROUND AND PURPOSE</w:t>
            </w:r>
            <w:r>
              <w:rPr>
                <w:b/>
              </w:rPr>
              <w:t xml:space="preserve"> </w:t>
            </w:r>
          </w:p>
          <w:p w:rsidR="008423E4" w:rsidRDefault="00BD1E76" w:rsidP="00661D5D"/>
          <w:p w:rsidR="008423E4" w:rsidRDefault="00BD1E76" w:rsidP="00661D5D">
            <w:pPr>
              <w:pStyle w:val="Header"/>
              <w:jc w:val="both"/>
            </w:pPr>
            <w:r>
              <w:t>Interested parties note ambiguity in the law regarding which conduct constituting the offense of aggravated kidnapping makes an offender subject to certain penalties and procedures, including sex offender registration. The goal of H.B. 415 is to remove thi</w:t>
            </w:r>
            <w:r>
              <w:t xml:space="preserve">s ambiguity. </w:t>
            </w:r>
          </w:p>
          <w:p w:rsidR="008423E4" w:rsidRPr="00E26B13" w:rsidRDefault="00BD1E76" w:rsidP="00661D5D">
            <w:pPr>
              <w:rPr>
                <w:b/>
              </w:rPr>
            </w:pPr>
          </w:p>
        </w:tc>
      </w:tr>
      <w:tr w:rsidR="007D655A" w:rsidTr="00345119">
        <w:tc>
          <w:tcPr>
            <w:tcW w:w="9576" w:type="dxa"/>
          </w:tcPr>
          <w:p w:rsidR="0017725B" w:rsidRDefault="00BD1E76" w:rsidP="00661D5D">
            <w:pPr>
              <w:rPr>
                <w:b/>
                <w:u w:val="single"/>
              </w:rPr>
            </w:pPr>
            <w:r>
              <w:rPr>
                <w:b/>
                <w:u w:val="single"/>
              </w:rPr>
              <w:t>CRIMINAL JUSTICE IMPACT</w:t>
            </w:r>
          </w:p>
          <w:p w:rsidR="0017725B" w:rsidRDefault="00BD1E76" w:rsidP="00661D5D">
            <w:pPr>
              <w:rPr>
                <w:b/>
                <w:u w:val="single"/>
              </w:rPr>
            </w:pPr>
          </w:p>
          <w:p w:rsidR="00DD1D4D" w:rsidRPr="00DD1D4D" w:rsidRDefault="00BD1E76" w:rsidP="00661D5D">
            <w:pPr>
              <w:jc w:val="both"/>
            </w:pPr>
            <w:r>
              <w:t xml:space="preserve">It is the committee's opinion that this bill does not expressly create a criminal offense, increase the punishment for an existing criminal offense or category of offenses, or change the eligibility of a person for </w:t>
            </w:r>
            <w:r>
              <w:t>community supervision, parole, or mandatory supervision.</w:t>
            </w:r>
          </w:p>
          <w:p w:rsidR="0017725B" w:rsidRPr="0017725B" w:rsidRDefault="00BD1E76" w:rsidP="00661D5D">
            <w:pPr>
              <w:rPr>
                <w:b/>
                <w:u w:val="single"/>
              </w:rPr>
            </w:pPr>
          </w:p>
        </w:tc>
      </w:tr>
      <w:tr w:rsidR="007D655A" w:rsidTr="00345119">
        <w:tc>
          <w:tcPr>
            <w:tcW w:w="9576" w:type="dxa"/>
          </w:tcPr>
          <w:p w:rsidR="008423E4" w:rsidRPr="00A8133F" w:rsidRDefault="00BD1E76" w:rsidP="00661D5D">
            <w:pPr>
              <w:rPr>
                <w:b/>
              </w:rPr>
            </w:pPr>
            <w:r w:rsidRPr="009C1E9A">
              <w:rPr>
                <w:b/>
                <w:u w:val="single"/>
              </w:rPr>
              <w:t>RULEMAKING AUTHORITY</w:t>
            </w:r>
            <w:r>
              <w:rPr>
                <w:b/>
              </w:rPr>
              <w:t xml:space="preserve"> </w:t>
            </w:r>
          </w:p>
          <w:p w:rsidR="008423E4" w:rsidRDefault="00BD1E76" w:rsidP="00661D5D"/>
          <w:p w:rsidR="00DD1D4D" w:rsidRDefault="00BD1E76" w:rsidP="00661D5D">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BD1E76" w:rsidP="00661D5D">
            <w:pPr>
              <w:rPr>
                <w:b/>
              </w:rPr>
            </w:pPr>
          </w:p>
        </w:tc>
      </w:tr>
      <w:tr w:rsidR="007D655A" w:rsidTr="00345119">
        <w:tc>
          <w:tcPr>
            <w:tcW w:w="9576" w:type="dxa"/>
          </w:tcPr>
          <w:p w:rsidR="008423E4" w:rsidRPr="00A8133F" w:rsidRDefault="00BD1E76" w:rsidP="00661D5D">
            <w:pPr>
              <w:rPr>
                <w:b/>
              </w:rPr>
            </w:pPr>
            <w:r w:rsidRPr="009C1E9A">
              <w:rPr>
                <w:b/>
                <w:u w:val="single"/>
              </w:rPr>
              <w:t>ANALYSIS</w:t>
            </w:r>
            <w:r>
              <w:rPr>
                <w:b/>
              </w:rPr>
              <w:t xml:space="preserve"> </w:t>
            </w:r>
          </w:p>
          <w:p w:rsidR="008423E4" w:rsidRDefault="00BD1E76" w:rsidP="00661D5D"/>
          <w:p w:rsidR="001222D6" w:rsidRDefault="00BD1E76" w:rsidP="00661D5D">
            <w:pPr>
              <w:pStyle w:val="Header"/>
              <w:tabs>
                <w:tab w:val="clear" w:pos="4320"/>
                <w:tab w:val="clear" w:pos="8640"/>
              </w:tabs>
              <w:jc w:val="both"/>
            </w:pPr>
            <w:r>
              <w:t xml:space="preserve">H.B. 415 amends the </w:t>
            </w:r>
            <w:r>
              <w:t xml:space="preserve">Code of Criminal Procedure, Government Code, Health and Safety Code, and </w:t>
            </w:r>
            <w:r>
              <w:t xml:space="preserve">Penal Code to </w:t>
            </w:r>
            <w:r>
              <w:t>clarify that</w:t>
            </w:r>
            <w:r>
              <w:t>,</w:t>
            </w:r>
            <w:r>
              <w:t xml:space="preserve"> for purposes of the </w:t>
            </w:r>
            <w:r>
              <w:t>offense of aggravated kidnapping</w:t>
            </w:r>
            <w:r>
              <w:t xml:space="preserve"> and certain penalties and procedures applicable to the offense,</w:t>
            </w:r>
            <w:r>
              <w:t xml:space="preserve"> abduct</w:t>
            </w:r>
            <w:r>
              <w:t>ing</w:t>
            </w:r>
            <w:r>
              <w:t xml:space="preserve"> another person with the intent to violate or abuse the person sexually</w:t>
            </w:r>
            <w:r>
              <w:t xml:space="preserve"> is separate conduct from abducting another person with the intent to inflict bodily injury on the person</w:t>
            </w:r>
            <w:r>
              <w:t>.</w:t>
            </w:r>
          </w:p>
          <w:p w:rsidR="008423E4" w:rsidRPr="00835628" w:rsidRDefault="00BD1E76" w:rsidP="00661D5D">
            <w:pPr>
              <w:rPr>
                <w:b/>
              </w:rPr>
            </w:pPr>
          </w:p>
        </w:tc>
      </w:tr>
      <w:tr w:rsidR="007D655A" w:rsidTr="00345119">
        <w:tc>
          <w:tcPr>
            <w:tcW w:w="9576" w:type="dxa"/>
          </w:tcPr>
          <w:p w:rsidR="008423E4" w:rsidRPr="00A8133F" w:rsidRDefault="00BD1E76" w:rsidP="00661D5D">
            <w:pPr>
              <w:rPr>
                <w:b/>
              </w:rPr>
            </w:pPr>
            <w:r w:rsidRPr="009C1E9A">
              <w:rPr>
                <w:b/>
                <w:u w:val="single"/>
              </w:rPr>
              <w:t>EFFECTIVE DATE</w:t>
            </w:r>
            <w:r>
              <w:rPr>
                <w:b/>
              </w:rPr>
              <w:t xml:space="preserve"> </w:t>
            </w:r>
          </w:p>
          <w:p w:rsidR="008423E4" w:rsidRDefault="00BD1E76" w:rsidP="00661D5D"/>
          <w:p w:rsidR="008423E4" w:rsidRPr="003624F2" w:rsidRDefault="00BD1E76" w:rsidP="00661D5D">
            <w:pPr>
              <w:pStyle w:val="Header"/>
              <w:tabs>
                <w:tab w:val="clear" w:pos="4320"/>
                <w:tab w:val="clear" w:pos="8640"/>
              </w:tabs>
              <w:jc w:val="both"/>
            </w:pPr>
            <w:r>
              <w:t>September 1, 2017.</w:t>
            </w:r>
          </w:p>
          <w:p w:rsidR="008423E4" w:rsidRPr="00233FDB" w:rsidRDefault="00BD1E76" w:rsidP="00661D5D">
            <w:pPr>
              <w:rPr>
                <w:b/>
              </w:rPr>
            </w:pPr>
          </w:p>
        </w:tc>
      </w:tr>
    </w:tbl>
    <w:p w:rsidR="008423E4" w:rsidRPr="00BE0E75" w:rsidRDefault="00BD1E76" w:rsidP="008423E4">
      <w:pPr>
        <w:spacing w:line="480" w:lineRule="auto"/>
        <w:jc w:val="both"/>
        <w:rPr>
          <w:rFonts w:ascii="Arial" w:hAnsi="Arial"/>
          <w:sz w:val="16"/>
          <w:szCs w:val="16"/>
        </w:rPr>
      </w:pPr>
    </w:p>
    <w:p w:rsidR="004108C3" w:rsidRPr="008423E4" w:rsidRDefault="00BD1E76"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D1E76">
      <w:r>
        <w:separator/>
      </w:r>
    </w:p>
  </w:endnote>
  <w:endnote w:type="continuationSeparator" w:id="0">
    <w:p w:rsidR="00000000" w:rsidRDefault="00BD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7D655A" w:rsidTr="009C1E9A">
      <w:trPr>
        <w:cantSplit/>
      </w:trPr>
      <w:tc>
        <w:tcPr>
          <w:tcW w:w="0" w:type="pct"/>
        </w:tcPr>
        <w:p w:rsidR="00137D90" w:rsidRDefault="00BD1E76" w:rsidP="009C1E9A">
          <w:pPr>
            <w:pStyle w:val="Footer"/>
            <w:tabs>
              <w:tab w:val="clear" w:pos="8640"/>
              <w:tab w:val="right" w:pos="9360"/>
            </w:tabs>
          </w:pPr>
        </w:p>
      </w:tc>
      <w:tc>
        <w:tcPr>
          <w:tcW w:w="2395" w:type="pct"/>
        </w:tcPr>
        <w:p w:rsidR="00137D90" w:rsidRDefault="00BD1E76" w:rsidP="009C1E9A">
          <w:pPr>
            <w:pStyle w:val="Footer"/>
            <w:tabs>
              <w:tab w:val="clear" w:pos="8640"/>
              <w:tab w:val="right" w:pos="9360"/>
            </w:tabs>
          </w:pPr>
        </w:p>
        <w:p w:rsidR="001A4310" w:rsidRDefault="00BD1E76" w:rsidP="009C1E9A">
          <w:pPr>
            <w:pStyle w:val="Footer"/>
            <w:tabs>
              <w:tab w:val="clear" w:pos="8640"/>
              <w:tab w:val="right" w:pos="9360"/>
            </w:tabs>
          </w:pPr>
        </w:p>
        <w:p w:rsidR="00137D90" w:rsidRDefault="00BD1E76" w:rsidP="009C1E9A">
          <w:pPr>
            <w:pStyle w:val="Footer"/>
            <w:tabs>
              <w:tab w:val="clear" w:pos="8640"/>
              <w:tab w:val="right" w:pos="9360"/>
            </w:tabs>
          </w:pPr>
        </w:p>
      </w:tc>
      <w:tc>
        <w:tcPr>
          <w:tcW w:w="2453" w:type="pct"/>
        </w:tcPr>
        <w:p w:rsidR="00137D90" w:rsidRDefault="00BD1E76" w:rsidP="009C1E9A">
          <w:pPr>
            <w:pStyle w:val="Footer"/>
            <w:tabs>
              <w:tab w:val="clear" w:pos="8640"/>
              <w:tab w:val="right" w:pos="9360"/>
            </w:tabs>
            <w:jc w:val="right"/>
          </w:pPr>
        </w:p>
      </w:tc>
    </w:tr>
    <w:tr w:rsidR="007D655A" w:rsidTr="009C1E9A">
      <w:trPr>
        <w:cantSplit/>
      </w:trPr>
      <w:tc>
        <w:tcPr>
          <w:tcW w:w="0" w:type="pct"/>
        </w:tcPr>
        <w:p w:rsidR="00EC379B" w:rsidRDefault="00BD1E76" w:rsidP="009C1E9A">
          <w:pPr>
            <w:pStyle w:val="Footer"/>
            <w:tabs>
              <w:tab w:val="clear" w:pos="8640"/>
              <w:tab w:val="right" w:pos="9360"/>
            </w:tabs>
          </w:pPr>
        </w:p>
      </w:tc>
      <w:tc>
        <w:tcPr>
          <w:tcW w:w="2395" w:type="pct"/>
        </w:tcPr>
        <w:p w:rsidR="00EC379B" w:rsidRPr="009C1E9A" w:rsidRDefault="00BD1E76" w:rsidP="009C1E9A">
          <w:pPr>
            <w:pStyle w:val="Footer"/>
            <w:tabs>
              <w:tab w:val="clear" w:pos="8640"/>
              <w:tab w:val="right" w:pos="9360"/>
            </w:tabs>
            <w:rPr>
              <w:rFonts w:ascii="Shruti" w:hAnsi="Shruti"/>
              <w:sz w:val="22"/>
            </w:rPr>
          </w:pPr>
          <w:r>
            <w:rPr>
              <w:rFonts w:ascii="Shruti" w:hAnsi="Shruti"/>
              <w:sz w:val="22"/>
            </w:rPr>
            <w:t>85R 28247</w:t>
          </w:r>
        </w:p>
      </w:tc>
      <w:tc>
        <w:tcPr>
          <w:tcW w:w="2453" w:type="pct"/>
        </w:tcPr>
        <w:p w:rsidR="00EC379B" w:rsidRDefault="00BD1E76" w:rsidP="009C1E9A">
          <w:pPr>
            <w:pStyle w:val="Footer"/>
            <w:tabs>
              <w:tab w:val="clear" w:pos="8640"/>
              <w:tab w:val="right" w:pos="9360"/>
            </w:tabs>
            <w:jc w:val="right"/>
          </w:pPr>
          <w:r>
            <w:fldChar w:fldCharType="begin"/>
          </w:r>
          <w:r>
            <w:instrText xml:space="preserve"> DOCPROPERTY  OTID  \* MERGEFORMAT </w:instrText>
          </w:r>
          <w:r>
            <w:fldChar w:fldCharType="separate"/>
          </w:r>
          <w:r>
            <w:t>17.124.559</w:t>
          </w:r>
          <w:r>
            <w:fldChar w:fldCharType="end"/>
          </w:r>
        </w:p>
      </w:tc>
    </w:tr>
    <w:tr w:rsidR="007D655A" w:rsidTr="009C1E9A">
      <w:trPr>
        <w:cantSplit/>
      </w:trPr>
      <w:tc>
        <w:tcPr>
          <w:tcW w:w="0" w:type="pct"/>
        </w:tcPr>
        <w:p w:rsidR="00EC379B" w:rsidRDefault="00BD1E76" w:rsidP="009C1E9A">
          <w:pPr>
            <w:pStyle w:val="Footer"/>
            <w:tabs>
              <w:tab w:val="clear" w:pos="4320"/>
              <w:tab w:val="clear" w:pos="8640"/>
              <w:tab w:val="left" w:pos="2865"/>
            </w:tabs>
          </w:pPr>
        </w:p>
      </w:tc>
      <w:tc>
        <w:tcPr>
          <w:tcW w:w="2395" w:type="pct"/>
        </w:tcPr>
        <w:p w:rsidR="00EC379B" w:rsidRPr="009C1E9A" w:rsidRDefault="00BD1E76" w:rsidP="009C1E9A">
          <w:pPr>
            <w:pStyle w:val="Footer"/>
            <w:tabs>
              <w:tab w:val="clear" w:pos="4320"/>
              <w:tab w:val="clear" w:pos="8640"/>
              <w:tab w:val="left" w:pos="2865"/>
            </w:tabs>
            <w:rPr>
              <w:rFonts w:ascii="Shruti" w:hAnsi="Shruti"/>
              <w:sz w:val="22"/>
            </w:rPr>
          </w:pPr>
        </w:p>
      </w:tc>
      <w:tc>
        <w:tcPr>
          <w:tcW w:w="2453" w:type="pct"/>
        </w:tcPr>
        <w:p w:rsidR="00EC379B" w:rsidRDefault="00BD1E76" w:rsidP="006D504F">
          <w:pPr>
            <w:pStyle w:val="Footer"/>
            <w:rPr>
              <w:rStyle w:val="PageNumber"/>
            </w:rPr>
          </w:pPr>
        </w:p>
        <w:p w:rsidR="00EC379B" w:rsidRDefault="00BD1E76" w:rsidP="009C1E9A">
          <w:pPr>
            <w:pStyle w:val="Footer"/>
            <w:tabs>
              <w:tab w:val="clear" w:pos="8640"/>
              <w:tab w:val="right" w:pos="9360"/>
            </w:tabs>
            <w:jc w:val="right"/>
          </w:pPr>
        </w:p>
      </w:tc>
    </w:tr>
    <w:tr w:rsidR="007D655A" w:rsidTr="009C1E9A">
      <w:trPr>
        <w:cantSplit/>
        <w:trHeight w:val="323"/>
      </w:trPr>
      <w:tc>
        <w:tcPr>
          <w:tcW w:w="0" w:type="pct"/>
          <w:gridSpan w:val="3"/>
        </w:tcPr>
        <w:p w:rsidR="00EC379B" w:rsidRDefault="00BD1E7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BD1E76" w:rsidP="009C1E9A">
          <w:pPr>
            <w:pStyle w:val="Footer"/>
            <w:tabs>
              <w:tab w:val="clear" w:pos="8640"/>
              <w:tab w:val="right" w:pos="9360"/>
            </w:tabs>
            <w:jc w:val="center"/>
          </w:pPr>
        </w:p>
      </w:tc>
    </w:tr>
  </w:tbl>
  <w:p w:rsidR="00EC379B" w:rsidRPr="00FF6F72" w:rsidRDefault="00BD1E76"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D1E76">
      <w:r>
        <w:separator/>
      </w:r>
    </w:p>
  </w:footnote>
  <w:footnote w:type="continuationSeparator" w:id="0">
    <w:p w:rsidR="00000000" w:rsidRDefault="00BD1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5A"/>
    <w:rsid w:val="007D655A"/>
    <w:rsid w:val="00BD1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D1D4D"/>
    <w:rPr>
      <w:sz w:val="16"/>
      <w:szCs w:val="16"/>
    </w:rPr>
  </w:style>
  <w:style w:type="paragraph" w:styleId="CommentText">
    <w:name w:val="annotation text"/>
    <w:basedOn w:val="Normal"/>
    <w:link w:val="CommentTextChar"/>
    <w:rsid w:val="00DD1D4D"/>
    <w:rPr>
      <w:sz w:val="20"/>
      <w:szCs w:val="20"/>
    </w:rPr>
  </w:style>
  <w:style w:type="character" w:customStyle="1" w:styleId="CommentTextChar">
    <w:name w:val="Comment Text Char"/>
    <w:basedOn w:val="DefaultParagraphFont"/>
    <w:link w:val="CommentText"/>
    <w:rsid w:val="00DD1D4D"/>
  </w:style>
  <w:style w:type="paragraph" w:styleId="CommentSubject">
    <w:name w:val="annotation subject"/>
    <w:basedOn w:val="CommentText"/>
    <w:next w:val="CommentText"/>
    <w:link w:val="CommentSubjectChar"/>
    <w:rsid w:val="00DD1D4D"/>
    <w:rPr>
      <w:b/>
      <w:bCs/>
    </w:rPr>
  </w:style>
  <w:style w:type="character" w:customStyle="1" w:styleId="CommentSubjectChar">
    <w:name w:val="Comment Subject Char"/>
    <w:basedOn w:val="CommentTextChar"/>
    <w:link w:val="CommentSubject"/>
    <w:rsid w:val="00DD1D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D1D4D"/>
    <w:rPr>
      <w:sz w:val="16"/>
      <w:szCs w:val="16"/>
    </w:rPr>
  </w:style>
  <w:style w:type="paragraph" w:styleId="CommentText">
    <w:name w:val="annotation text"/>
    <w:basedOn w:val="Normal"/>
    <w:link w:val="CommentTextChar"/>
    <w:rsid w:val="00DD1D4D"/>
    <w:rPr>
      <w:sz w:val="20"/>
      <w:szCs w:val="20"/>
    </w:rPr>
  </w:style>
  <w:style w:type="character" w:customStyle="1" w:styleId="CommentTextChar">
    <w:name w:val="Comment Text Char"/>
    <w:basedOn w:val="DefaultParagraphFont"/>
    <w:link w:val="CommentText"/>
    <w:rsid w:val="00DD1D4D"/>
  </w:style>
  <w:style w:type="paragraph" w:styleId="CommentSubject">
    <w:name w:val="annotation subject"/>
    <w:basedOn w:val="CommentText"/>
    <w:next w:val="CommentText"/>
    <w:link w:val="CommentSubjectChar"/>
    <w:rsid w:val="00DD1D4D"/>
    <w:rPr>
      <w:b/>
      <w:bCs/>
    </w:rPr>
  </w:style>
  <w:style w:type="character" w:customStyle="1" w:styleId="CommentSubjectChar">
    <w:name w:val="Comment Subject Char"/>
    <w:basedOn w:val="CommentTextChar"/>
    <w:link w:val="CommentSubject"/>
    <w:rsid w:val="00DD1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1131</Characters>
  <Application>Microsoft Office Word</Application>
  <DocSecurity>4</DocSecurity>
  <Lines>41</Lines>
  <Paragraphs>15</Paragraphs>
  <ScaleCrop>false</ScaleCrop>
  <HeadingPairs>
    <vt:vector size="2" baseType="variant">
      <vt:variant>
        <vt:lpstr>Title</vt:lpstr>
      </vt:variant>
      <vt:variant>
        <vt:i4>1</vt:i4>
      </vt:variant>
    </vt:vector>
  </HeadingPairs>
  <TitlesOfParts>
    <vt:vector size="1" baseType="lpstr">
      <vt:lpstr>BA - HB00415 (Committee Report (Unamended))</vt:lpstr>
    </vt:vector>
  </TitlesOfParts>
  <Company>State of Texas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28247</dc:subject>
  <dc:creator>State of Texas</dc:creator>
  <dc:description>HB 415 by Minjarez-(H)Criminal Jurisprudence</dc:description>
  <cp:lastModifiedBy>Molly Hoffman-Bricker</cp:lastModifiedBy>
  <cp:revision>2</cp:revision>
  <cp:lastPrinted>2017-05-04T18:52:00Z</cp:lastPrinted>
  <dcterms:created xsi:type="dcterms:W3CDTF">2017-05-05T15:42:00Z</dcterms:created>
  <dcterms:modified xsi:type="dcterms:W3CDTF">2017-05-05T15:42:00Z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17.124.559</vt:lpwstr>
  </property>
</Properties>
</file>