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0F1E77" w:rsidTr="000F1E77">
        <w:trPr>
          <w:cantSplit/>
          <w:tblHeader/>
        </w:trPr>
        <w:tc>
          <w:tcPr>
            <w:tcW w:w="18713" w:type="dxa"/>
            <w:gridSpan w:val="3"/>
          </w:tcPr>
          <w:p w:rsidR="00E6435B" w:rsidRDefault="00EC1891">
            <w:pPr>
              <w:ind w:left="650"/>
              <w:jc w:val="center"/>
            </w:pPr>
            <w:bookmarkStart w:id="0" w:name="_GoBack"/>
            <w:bookmarkEnd w:id="0"/>
            <w:r>
              <w:rPr>
                <w:b/>
              </w:rPr>
              <w:t>House Bill  3535</w:t>
            </w:r>
          </w:p>
          <w:p w:rsidR="00E6435B" w:rsidRDefault="00EC1891">
            <w:pPr>
              <w:ind w:left="650"/>
              <w:jc w:val="center"/>
            </w:pPr>
            <w:r>
              <w:t>Senate Amendments</w:t>
            </w:r>
          </w:p>
          <w:p w:rsidR="00E6435B" w:rsidRDefault="00EC1891">
            <w:pPr>
              <w:ind w:left="650"/>
              <w:jc w:val="center"/>
            </w:pPr>
            <w:r>
              <w:t>Section-by-Section Analysis</w:t>
            </w:r>
          </w:p>
          <w:p w:rsidR="00E6435B" w:rsidRDefault="00E6435B">
            <w:pPr>
              <w:jc w:val="center"/>
            </w:pPr>
          </w:p>
        </w:tc>
      </w:tr>
      <w:tr w:rsidR="00E6435B">
        <w:trPr>
          <w:cantSplit/>
          <w:tblHeader/>
        </w:trPr>
        <w:tc>
          <w:tcPr>
            <w:tcW w:w="1667" w:type="pct"/>
            <w:tcMar>
              <w:bottom w:w="188" w:type="dxa"/>
              <w:right w:w="0" w:type="dxa"/>
            </w:tcMar>
          </w:tcPr>
          <w:p w:rsidR="00E6435B" w:rsidRDefault="00EC1891">
            <w:pPr>
              <w:jc w:val="center"/>
            </w:pPr>
            <w:r>
              <w:t>HOUSE VERSION</w:t>
            </w:r>
          </w:p>
        </w:tc>
        <w:tc>
          <w:tcPr>
            <w:tcW w:w="1667" w:type="pct"/>
            <w:tcMar>
              <w:bottom w:w="188" w:type="dxa"/>
              <w:right w:w="0" w:type="dxa"/>
            </w:tcMar>
          </w:tcPr>
          <w:p w:rsidR="00E6435B" w:rsidRDefault="00EC1891">
            <w:pPr>
              <w:jc w:val="center"/>
            </w:pPr>
            <w:r>
              <w:t>SENATE VERSION (CS)</w:t>
            </w:r>
          </w:p>
        </w:tc>
        <w:tc>
          <w:tcPr>
            <w:tcW w:w="1667" w:type="pct"/>
            <w:tcMar>
              <w:bottom w:w="188" w:type="dxa"/>
              <w:right w:w="0" w:type="dxa"/>
            </w:tcMar>
          </w:tcPr>
          <w:p w:rsidR="00E6435B" w:rsidRDefault="00EC1891">
            <w:pPr>
              <w:jc w:val="center"/>
            </w:pPr>
            <w:r>
              <w:t>CONFERENCE</w:t>
            </w:r>
          </w:p>
        </w:tc>
      </w:tr>
      <w:tr w:rsidR="00E6435B">
        <w:tc>
          <w:tcPr>
            <w:tcW w:w="6473" w:type="dxa"/>
          </w:tcPr>
          <w:p w:rsidR="00E6435B" w:rsidRDefault="00EC1891">
            <w:pPr>
              <w:jc w:val="both"/>
            </w:pPr>
            <w:r>
              <w:t>SECTION 1.  Section 2306.6711, Government Code, is amended by adding Subsection (g) to read as follows:</w:t>
            </w:r>
          </w:p>
          <w:p w:rsidR="00E6435B" w:rsidRDefault="00EC1891">
            <w:pPr>
              <w:jc w:val="both"/>
            </w:pPr>
            <w:r>
              <w:rPr>
                <w:u w:val="single"/>
              </w:rPr>
              <w:t xml:space="preserve">(g)  Except as necessary to comply with the nonprofit set-aside required by Section 42(h)(5), Internal Revenue Code of 1986 (26 </w:t>
            </w:r>
            <w:proofErr w:type="spellStart"/>
            <w:r>
              <w:rPr>
                <w:u w:val="single"/>
              </w:rPr>
              <w:t>U.S.C</w:t>
            </w:r>
            <w:proofErr w:type="spellEnd"/>
            <w:r>
              <w:rPr>
                <w:u w:val="single"/>
              </w:rPr>
              <w:t xml:space="preserve">. Section 42(h)(5)), in an urban </w:t>
            </w:r>
            <w:proofErr w:type="spellStart"/>
            <w:r>
              <w:rPr>
                <w:u w:val="single"/>
              </w:rPr>
              <w:t>subregion</w:t>
            </w:r>
            <w:proofErr w:type="spellEnd"/>
            <w:r>
              <w:rPr>
                <w:u w:val="single"/>
              </w:rPr>
              <w:t xml:space="preserve"> of a uniform state service region that contains a county with a population of more than 1,700,000, the board shall allocate housing tax credits to:</w:t>
            </w:r>
          </w:p>
          <w:p w:rsidR="00E6435B" w:rsidRDefault="00EC1891">
            <w:pPr>
              <w:jc w:val="both"/>
            </w:pPr>
            <w:r>
              <w:rPr>
                <w:u w:val="single"/>
              </w:rPr>
              <w:t xml:space="preserve">(1)  the highest scoring development, if any, that is part of a concerted plan of revitalization and is located in that urban </w:t>
            </w:r>
            <w:proofErr w:type="spellStart"/>
            <w:r>
              <w:rPr>
                <w:u w:val="single"/>
              </w:rPr>
              <w:t>subregion</w:t>
            </w:r>
            <w:proofErr w:type="spellEnd"/>
            <w:r>
              <w:rPr>
                <w:u w:val="single"/>
              </w:rPr>
              <w:t xml:space="preserve"> in a municipality with a population of 500,000 or more; and</w:t>
            </w:r>
          </w:p>
          <w:p w:rsidR="00E6435B" w:rsidRDefault="00EC1891" w:rsidP="005C0346">
            <w:pPr>
              <w:jc w:val="both"/>
            </w:pPr>
            <w:r>
              <w:rPr>
                <w:u w:val="single"/>
              </w:rPr>
              <w:t xml:space="preserve">(2)  the highest scoring development, if any, that is located in </w:t>
            </w:r>
            <w:r w:rsidRPr="000F1E77">
              <w:rPr>
                <w:highlight w:val="lightGray"/>
                <w:u w:val="single"/>
              </w:rPr>
              <w:t>a high opportunity area</w:t>
            </w:r>
            <w:r>
              <w:rPr>
                <w:u w:val="single"/>
              </w:rPr>
              <w:t xml:space="preserve"> in that urban </w:t>
            </w:r>
            <w:proofErr w:type="spellStart"/>
            <w:r>
              <w:rPr>
                <w:u w:val="single"/>
              </w:rPr>
              <w:t>subregion</w:t>
            </w:r>
            <w:proofErr w:type="spellEnd"/>
            <w:r>
              <w:rPr>
                <w:u w:val="single"/>
              </w:rPr>
              <w:t>, as determined by the department.</w:t>
            </w:r>
          </w:p>
        </w:tc>
        <w:tc>
          <w:tcPr>
            <w:tcW w:w="6480" w:type="dxa"/>
          </w:tcPr>
          <w:p w:rsidR="00E6435B" w:rsidRDefault="00EC1891">
            <w:pPr>
              <w:jc w:val="both"/>
            </w:pPr>
            <w:r>
              <w:t>SECTION 1.  Section 2306.6711, Government Code, is amended by adding Subsection (g) to read as follows:</w:t>
            </w:r>
          </w:p>
          <w:p w:rsidR="00E6435B" w:rsidRDefault="00EC1891">
            <w:pPr>
              <w:jc w:val="both"/>
            </w:pPr>
            <w:r>
              <w:rPr>
                <w:u w:val="single"/>
              </w:rPr>
              <w:t xml:space="preserve">(g)  Except as necessary to comply with the nonprofit set-aside required by Section 42(h)(5), Internal Revenue Code of 1986 (26 </w:t>
            </w:r>
            <w:proofErr w:type="spellStart"/>
            <w:r>
              <w:rPr>
                <w:u w:val="single"/>
              </w:rPr>
              <w:t>U.S.C</w:t>
            </w:r>
            <w:proofErr w:type="spellEnd"/>
            <w:r>
              <w:rPr>
                <w:u w:val="single"/>
              </w:rPr>
              <w:t xml:space="preserve">. Section 42(h)(5)), in an urban </w:t>
            </w:r>
            <w:proofErr w:type="spellStart"/>
            <w:r>
              <w:rPr>
                <w:u w:val="single"/>
              </w:rPr>
              <w:t>subregion</w:t>
            </w:r>
            <w:proofErr w:type="spellEnd"/>
            <w:r>
              <w:rPr>
                <w:u w:val="single"/>
              </w:rPr>
              <w:t xml:space="preserve"> of a uniform state service region that contains a county with a population of more than 1,700,000, the board shall allocate housing tax credits to:</w:t>
            </w:r>
          </w:p>
          <w:p w:rsidR="00E6435B" w:rsidRDefault="00EC1891">
            <w:pPr>
              <w:jc w:val="both"/>
            </w:pPr>
            <w:r>
              <w:rPr>
                <w:u w:val="single"/>
              </w:rPr>
              <w:t xml:space="preserve">(1)  the highest scoring development, if any, that is part of a concerted plan of revitalization and is located in that urban </w:t>
            </w:r>
            <w:proofErr w:type="spellStart"/>
            <w:r>
              <w:rPr>
                <w:u w:val="single"/>
              </w:rPr>
              <w:t>subregion</w:t>
            </w:r>
            <w:proofErr w:type="spellEnd"/>
            <w:r>
              <w:rPr>
                <w:u w:val="single"/>
              </w:rPr>
              <w:t xml:space="preserve"> in a municipality with a population of 500,000 or more; and</w:t>
            </w:r>
          </w:p>
          <w:p w:rsidR="00E6435B" w:rsidRDefault="00EC1891">
            <w:pPr>
              <w:jc w:val="both"/>
            </w:pPr>
            <w:r>
              <w:rPr>
                <w:u w:val="single"/>
              </w:rPr>
              <w:t xml:space="preserve">(2)  the highest scoring development, if any, that is located in </w:t>
            </w:r>
            <w:r w:rsidRPr="000F1E77">
              <w:rPr>
                <w:highlight w:val="lightGray"/>
                <w:u w:val="single"/>
              </w:rPr>
              <w:t>the census tract with the lowest percentage of poverty</w:t>
            </w:r>
            <w:r>
              <w:rPr>
                <w:u w:val="single"/>
              </w:rPr>
              <w:t xml:space="preserve"> in that urban </w:t>
            </w:r>
            <w:proofErr w:type="spellStart"/>
            <w:r>
              <w:rPr>
                <w:u w:val="single"/>
              </w:rPr>
              <w:t>subregion</w:t>
            </w:r>
            <w:proofErr w:type="spellEnd"/>
            <w:r>
              <w:rPr>
                <w:u w:val="single"/>
              </w:rPr>
              <w:t>, as determined by the department.</w:t>
            </w:r>
          </w:p>
        </w:tc>
        <w:tc>
          <w:tcPr>
            <w:tcW w:w="5760" w:type="dxa"/>
          </w:tcPr>
          <w:p w:rsidR="00E6435B" w:rsidRDefault="00E6435B">
            <w:pPr>
              <w:jc w:val="both"/>
            </w:pPr>
          </w:p>
        </w:tc>
      </w:tr>
      <w:tr w:rsidR="00E6435B">
        <w:tc>
          <w:tcPr>
            <w:tcW w:w="6473" w:type="dxa"/>
          </w:tcPr>
          <w:p w:rsidR="00E6435B" w:rsidRDefault="00EC1891" w:rsidP="005C0346">
            <w:pPr>
              <w:jc w:val="both"/>
            </w:pPr>
            <w:r>
              <w:t>SECTION 2.  The change in law made by this Act applies only to the allocation of low income housing tax credits for an application cycle that begins on or after January 1, 2017.  The allocation of low income housing tax credits for an application cycle that begins before January 1, 2017, is governed by the law in effect on the date the application cycle began, and the former law is continued in effect for that purpose.</w:t>
            </w:r>
          </w:p>
        </w:tc>
        <w:tc>
          <w:tcPr>
            <w:tcW w:w="6480" w:type="dxa"/>
          </w:tcPr>
          <w:p w:rsidR="00E6435B" w:rsidRDefault="00EC1891">
            <w:pPr>
              <w:jc w:val="both"/>
            </w:pPr>
            <w:r>
              <w:t>SECTION 2. Same as House version.</w:t>
            </w:r>
          </w:p>
          <w:p w:rsidR="00E6435B" w:rsidRDefault="00E6435B">
            <w:pPr>
              <w:jc w:val="both"/>
            </w:pPr>
          </w:p>
          <w:p w:rsidR="00E6435B" w:rsidRDefault="00E6435B">
            <w:pPr>
              <w:jc w:val="both"/>
            </w:pPr>
          </w:p>
        </w:tc>
        <w:tc>
          <w:tcPr>
            <w:tcW w:w="5760" w:type="dxa"/>
          </w:tcPr>
          <w:p w:rsidR="00E6435B" w:rsidRDefault="00E6435B">
            <w:pPr>
              <w:jc w:val="both"/>
            </w:pPr>
          </w:p>
        </w:tc>
      </w:tr>
      <w:tr w:rsidR="00E6435B">
        <w:tc>
          <w:tcPr>
            <w:tcW w:w="6473" w:type="dxa"/>
          </w:tcPr>
          <w:p w:rsidR="00E6435B" w:rsidRDefault="00EC1891">
            <w:pPr>
              <w:jc w:val="both"/>
            </w:pPr>
            <w:r>
              <w:t>SECTION 3.  This Act takes effect September 1, 2015.</w:t>
            </w:r>
          </w:p>
          <w:p w:rsidR="00E6435B" w:rsidRDefault="00E6435B">
            <w:pPr>
              <w:jc w:val="both"/>
            </w:pPr>
          </w:p>
        </w:tc>
        <w:tc>
          <w:tcPr>
            <w:tcW w:w="6480" w:type="dxa"/>
          </w:tcPr>
          <w:p w:rsidR="00E6435B" w:rsidRDefault="00EC1891">
            <w:pPr>
              <w:jc w:val="both"/>
            </w:pPr>
            <w:r>
              <w:t>SECTION 3. Same as House version.</w:t>
            </w:r>
          </w:p>
          <w:p w:rsidR="00E6435B" w:rsidRDefault="00E6435B">
            <w:pPr>
              <w:jc w:val="both"/>
            </w:pPr>
          </w:p>
          <w:p w:rsidR="00E6435B" w:rsidRDefault="00E6435B">
            <w:pPr>
              <w:jc w:val="both"/>
            </w:pPr>
          </w:p>
        </w:tc>
        <w:tc>
          <w:tcPr>
            <w:tcW w:w="5760" w:type="dxa"/>
          </w:tcPr>
          <w:p w:rsidR="00E6435B" w:rsidRDefault="00E6435B">
            <w:pPr>
              <w:jc w:val="both"/>
            </w:pPr>
          </w:p>
        </w:tc>
      </w:tr>
    </w:tbl>
    <w:p w:rsidR="00CD0ECA" w:rsidRDefault="00CD0ECA"/>
    <w:sectPr w:rsidR="00CD0ECA" w:rsidSect="00E6435B">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35B" w:rsidRDefault="00E6435B" w:rsidP="00E6435B">
      <w:r>
        <w:separator/>
      </w:r>
    </w:p>
  </w:endnote>
  <w:endnote w:type="continuationSeparator" w:id="0">
    <w:p w:rsidR="00E6435B" w:rsidRDefault="00E6435B" w:rsidP="00E64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EDB" w:rsidRDefault="00655E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35B" w:rsidRDefault="001E1735">
    <w:pPr>
      <w:tabs>
        <w:tab w:val="center" w:pos="9360"/>
        <w:tab w:val="right" w:pos="18720"/>
      </w:tabs>
    </w:pPr>
    <w:r>
      <w:fldChar w:fldCharType="begin"/>
    </w:r>
    <w:r>
      <w:instrText xml:space="preserve"> DOCPROPERTY  CCRF  \* MERGEFORMAT </w:instrText>
    </w:r>
    <w:r>
      <w:fldChar w:fldCharType="separate"/>
    </w:r>
    <w:r w:rsidR="00655EDB">
      <w:t xml:space="preserve"> </w:t>
    </w:r>
    <w:r>
      <w:fldChar w:fldCharType="end"/>
    </w:r>
    <w:r w:rsidR="00EC1891">
      <w:tab/>
    </w:r>
    <w:r w:rsidR="00E6435B">
      <w:fldChar w:fldCharType="begin"/>
    </w:r>
    <w:r w:rsidR="00EC1891">
      <w:instrText xml:space="preserve"> PAGE </w:instrText>
    </w:r>
    <w:r w:rsidR="00E6435B">
      <w:fldChar w:fldCharType="separate"/>
    </w:r>
    <w:r>
      <w:rPr>
        <w:noProof/>
      </w:rPr>
      <w:t>1</w:t>
    </w:r>
    <w:r w:rsidR="00E6435B">
      <w:fldChar w:fldCharType="end"/>
    </w:r>
    <w:r w:rsidR="00EC1891">
      <w:tab/>
    </w:r>
    <w:r>
      <w:fldChar w:fldCharType="begin"/>
    </w:r>
    <w:r>
      <w:instrText xml:space="preserve"> DOCPROPERTY  OTID  \* MERGEFORMAT </w:instrText>
    </w:r>
    <w:r>
      <w:fldChar w:fldCharType="separate"/>
    </w:r>
    <w:r w:rsidR="00655EDB">
      <w:t>15.145.142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EDB" w:rsidRDefault="00655E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35B" w:rsidRDefault="00E6435B" w:rsidP="00E6435B">
      <w:r>
        <w:separator/>
      </w:r>
    </w:p>
  </w:footnote>
  <w:footnote w:type="continuationSeparator" w:id="0">
    <w:p w:rsidR="00E6435B" w:rsidRDefault="00E6435B" w:rsidP="00E643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EDB" w:rsidRDefault="00655E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EDB" w:rsidRDefault="00655ED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EDB" w:rsidRDefault="00655E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35B"/>
    <w:rsid w:val="000F1E77"/>
    <w:rsid w:val="001E1735"/>
    <w:rsid w:val="005C0346"/>
    <w:rsid w:val="00655EDB"/>
    <w:rsid w:val="00CD0ECA"/>
    <w:rsid w:val="00E6435B"/>
    <w:rsid w:val="00EC1891"/>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35B"/>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5EDB"/>
    <w:pPr>
      <w:tabs>
        <w:tab w:val="center" w:pos="4680"/>
        <w:tab w:val="right" w:pos="9360"/>
      </w:tabs>
    </w:pPr>
  </w:style>
  <w:style w:type="character" w:customStyle="1" w:styleId="HeaderChar">
    <w:name w:val="Header Char"/>
    <w:basedOn w:val="DefaultParagraphFont"/>
    <w:link w:val="Header"/>
    <w:uiPriority w:val="99"/>
    <w:rsid w:val="00655EDB"/>
    <w:rPr>
      <w:sz w:val="22"/>
    </w:rPr>
  </w:style>
  <w:style w:type="paragraph" w:styleId="Footer">
    <w:name w:val="footer"/>
    <w:basedOn w:val="Normal"/>
    <w:link w:val="FooterChar"/>
    <w:uiPriority w:val="99"/>
    <w:unhideWhenUsed/>
    <w:rsid w:val="00655EDB"/>
    <w:pPr>
      <w:tabs>
        <w:tab w:val="center" w:pos="4680"/>
        <w:tab w:val="right" w:pos="9360"/>
      </w:tabs>
    </w:pPr>
  </w:style>
  <w:style w:type="character" w:customStyle="1" w:styleId="FooterChar">
    <w:name w:val="Footer Char"/>
    <w:basedOn w:val="DefaultParagraphFont"/>
    <w:link w:val="Footer"/>
    <w:uiPriority w:val="99"/>
    <w:rsid w:val="00655EDB"/>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35B"/>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5EDB"/>
    <w:pPr>
      <w:tabs>
        <w:tab w:val="center" w:pos="4680"/>
        <w:tab w:val="right" w:pos="9360"/>
      </w:tabs>
    </w:pPr>
  </w:style>
  <w:style w:type="character" w:customStyle="1" w:styleId="HeaderChar">
    <w:name w:val="Header Char"/>
    <w:basedOn w:val="DefaultParagraphFont"/>
    <w:link w:val="Header"/>
    <w:uiPriority w:val="99"/>
    <w:rsid w:val="00655EDB"/>
    <w:rPr>
      <w:sz w:val="22"/>
    </w:rPr>
  </w:style>
  <w:style w:type="paragraph" w:styleId="Footer">
    <w:name w:val="footer"/>
    <w:basedOn w:val="Normal"/>
    <w:link w:val="FooterChar"/>
    <w:uiPriority w:val="99"/>
    <w:unhideWhenUsed/>
    <w:rsid w:val="00655EDB"/>
    <w:pPr>
      <w:tabs>
        <w:tab w:val="center" w:pos="4680"/>
        <w:tab w:val="right" w:pos="9360"/>
      </w:tabs>
    </w:pPr>
  </w:style>
  <w:style w:type="character" w:customStyle="1" w:styleId="FooterChar">
    <w:name w:val="Footer Char"/>
    <w:basedOn w:val="DefaultParagraphFont"/>
    <w:link w:val="Footer"/>
    <w:uiPriority w:val="99"/>
    <w:rsid w:val="00655EDB"/>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X:\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0</TotalTime>
  <Pages>1</Pages>
  <Words>334</Words>
  <Characters>1906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HB3535-SAA</vt:lpstr>
    </vt:vector>
  </TitlesOfParts>
  <Company>Texas Legislative Council</Company>
  <LinksUpToDate>false</LinksUpToDate>
  <CharactersWithSpaces>2236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HB3535-SAA</dc:title>
  <dc:creator>DXR</dc:creator>
  <cp:lastModifiedBy>ALO</cp:lastModifiedBy>
  <cp:revision>2</cp:revision>
  <dcterms:created xsi:type="dcterms:W3CDTF">2015-05-25T15:16:00Z</dcterms:created>
  <dcterms:modified xsi:type="dcterms:W3CDTF">2015-05-25T15:16:00Z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15.145.142</vt:lpwstr>
  </property>
  <property fmtid="{D5CDD505-2E9C-101B-9397-08002B2CF9AE}" pid="3" name="CCRF">
    <vt:lpwstr> </vt:lpwstr>
  </property>
</Properties>
</file>