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F6739" w:rsidTr="007F6739">
        <w:trPr>
          <w:cantSplit/>
          <w:tblHeader/>
        </w:trPr>
        <w:tc>
          <w:tcPr>
            <w:tcW w:w="18713" w:type="dxa"/>
            <w:gridSpan w:val="3"/>
          </w:tcPr>
          <w:p w:rsidR="00AD1C1F" w:rsidRDefault="003A521C">
            <w:pPr>
              <w:ind w:left="650"/>
              <w:jc w:val="center"/>
            </w:pPr>
            <w:bookmarkStart w:id="0" w:name="_GoBack"/>
            <w:bookmarkEnd w:id="0"/>
            <w:r>
              <w:rPr>
                <w:b/>
              </w:rPr>
              <w:t>House Bill  3106</w:t>
            </w:r>
          </w:p>
          <w:p w:rsidR="00AD1C1F" w:rsidRDefault="003A521C">
            <w:pPr>
              <w:ind w:left="650"/>
              <w:jc w:val="center"/>
            </w:pPr>
            <w:r>
              <w:t>Senate Amendments</w:t>
            </w:r>
          </w:p>
          <w:p w:rsidR="00AD1C1F" w:rsidRDefault="003A521C">
            <w:pPr>
              <w:ind w:left="650"/>
              <w:jc w:val="center"/>
            </w:pPr>
            <w:r>
              <w:t>Section-by-Section Analysis</w:t>
            </w:r>
          </w:p>
          <w:p w:rsidR="00AD1C1F" w:rsidRDefault="00AD1C1F">
            <w:pPr>
              <w:jc w:val="center"/>
            </w:pPr>
          </w:p>
        </w:tc>
      </w:tr>
      <w:tr w:rsidR="00AD1C1F">
        <w:trPr>
          <w:cantSplit/>
          <w:tblHeader/>
        </w:trPr>
        <w:tc>
          <w:tcPr>
            <w:tcW w:w="1667" w:type="pct"/>
            <w:tcMar>
              <w:bottom w:w="188" w:type="dxa"/>
              <w:right w:w="0" w:type="dxa"/>
            </w:tcMar>
          </w:tcPr>
          <w:p w:rsidR="00AD1C1F" w:rsidRDefault="003A521C">
            <w:pPr>
              <w:jc w:val="center"/>
            </w:pPr>
            <w:r>
              <w:t>HOUSE VERSION</w:t>
            </w:r>
          </w:p>
        </w:tc>
        <w:tc>
          <w:tcPr>
            <w:tcW w:w="1667" w:type="pct"/>
            <w:tcMar>
              <w:bottom w:w="188" w:type="dxa"/>
              <w:right w:w="0" w:type="dxa"/>
            </w:tcMar>
          </w:tcPr>
          <w:p w:rsidR="00AD1C1F" w:rsidRDefault="003A521C">
            <w:pPr>
              <w:jc w:val="center"/>
            </w:pPr>
            <w:r>
              <w:t>SENATE VERSION (IE)</w:t>
            </w:r>
          </w:p>
        </w:tc>
        <w:tc>
          <w:tcPr>
            <w:tcW w:w="1667" w:type="pct"/>
            <w:tcMar>
              <w:bottom w:w="188" w:type="dxa"/>
              <w:right w:w="0" w:type="dxa"/>
            </w:tcMar>
          </w:tcPr>
          <w:p w:rsidR="00AD1C1F" w:rsidRDefault="003A521C">
            <w:pPr>
              <w:jc w:val="center"/>
            </w:pPr>
            <w:r>
              <w:t>CONFERENCE</w:t>
            </w:r>
          </w:p>
        </w:tc>
      </w:tr>
      <w:tr w:rsidR="00AD1C1F">
        <w:tc>
          <w:tcPr>
            <w:tcW w:w="6473" w:type="dxa"/>
          </w:tcPr>
          <w:p w:rsidR="00AD1C1F" w:rsidRDefault="003A521C">
            <w:pPr>
              <w:jc w:val="both"/>
            </w:pPr>
            <w:r>
              <w:t>SECTION 1.  Section 39.112, Education Code, is amended by amending Subsection (e) and adding Subsection (f) to read as follows:</w:t>
            </w:r>
          </w:p>
          <w:p w:rsidR="00AD1C1F" w:rsidRDefault="003A521C">
            <w:pPr>
              <w:jc w:val="both"/>
            </w:pPr>
            <w:r>
              <w:t xml:space="preserve">(e)  </w:t>
            </w:r>
            <w:r>
              <w:rPr>
                <w:u w:val="single"/>
              </w:rPr>
              <w:t>Except as otherwise provided by Subsection (f), at</w:t>
            </w:r>
            <w:r>
              <w:t xml:space="preserve"> [</w:t>
            </w:r>
            <w:r>
              <w:rPr>
                <w:strike/>
              </w:rPr>
              <w:t>At</w:t>
            </w:r>
            <w:r>
              <w:t>] the direction of the commissioner but not later than the second anniversary of the date the board of managers of a district was appointed, the board of managers shall order an election of members of the district board of trustees.  The election must be held on a uniform election date on which an election of district trustees may be held under Section 41.001, Election Code, that is at least 180 days after the date the election was ordered.  On qualification of members for office, the board of trustees assumes all of the powers and duties assigned to a board of trustees by law, rule, or regulation.</w:t>
            </w:r>
          </w:p>
          <w:p w:rsidR="00AD1C1F" w:rsidRDefault="003A521C">
            <w:pPr>
              <w:jc w:val="both"/>
            </w:pPr>
            <w:r>
              <w:rPr>
                <w:u w:val="single"/>
              </w:rPr>
              <w:t>(f)  If, before the second anniversary of the date the board of managers of a district was appointed, the commissioner determines that insufficient progress has been made toward improving the academic or financial performance of the district, the commissioner may extend the authority of the board of managers for a period of up to two additional years.</w:t>
            </w:r>
          </w:p>
          <w:p w:rsidR="00AD1C1F" w:rsidRDefault="00AD1C1F">
            <w:pPr>
              <w:jc w:val="both"/>
            </w:pPr>
          </w:p>
        </w:tc>
        <w:tc>
          <w:tcPr>
            <w:tcW w:w="6480" w:type="dxa"/>
          </w:tcPr>
          <w:p w:rsidR="00AD1C1F" w:rsidRDefault="003A521C">
            <w:pPr>
              <w:jc w:val="both"/>
            </w:pPr>
            <w:r>
              <w:t>SECTION 1.  Section 39.112, Education Code, is amended by amending Subsection (e) and adding Subsection (f) to read as follows:</w:t>
            </w:r>
          </w:p>
          <w:p w:rsidR="00AD1C1F" w:rsidRDefault="003A521C">
            <w:pPr>
              <w:jc w:val="both"/>
            </w:pPr>
            <w:r>
              <w:t xml:space="preserve">(e)  </w:t>
            </w:r>
            <w:r>
              <w:rPr>
                <w:u w:val="single"/>
              </w:rPr>
              <w:t>Except as otherwise provided by Subsection (f), at</w:t>
            </w:r>
            <w:r>
              <w:t xml:space="preserve"> [</w:t>
            </w:r>
            <w:r>
              <w:rPr>
                <w:strike/>
              </w:rPr>
              <w:t>At</w:t>
            </w:r>
            <w:r>
              <w:t>] the direction of the commissioner but not later than the second anniversary of the date the board of managers of a district was appointed, the board of managers shall order an election of members of the district board of trustees.  The election must be held on a uniform election date on which an election of district trustees may be held under Section 41.001, Election Code, that is at least 180 days after the date the election was ordered.  On qualification of members for office, the board of trustees assumes all of the powers and duties assigned to a board of trustees by law, rule, or regulation.</w:t>
            </w:r>
          </w:p>
          <w:p w:rsidR="00AD1C1F" w:rsidRDefault="003A521C">
            <w:pPr>
              <w:jc w:val="both"/>
            </w:pPr>
            <w:r>
              <w:rPr>
                <w:u w:val="single"/>
              </w:rPr>
              <w:t>(f)  If, before the second anniversary of the date the board of managers of a district was appointed, the commissioner determines</w:t>
            </w:r>
            <w:r w:rsidRPr="007F6739">
              <w:rPr>
                <w:highlight w:val="lightGray"/>
                <w:u w:val="single"/>
              </w:rPr>
              <w:t>, after receiving local feedback,</w:t>
            </w:r>
            <w:r>
              <w:rPr>
                <w:u w:val="single"/>
              </w:rPr>
              <w:t xml:space="preserve"> that insufficient progress has been made toward improving the academic or financial performance of the district, the commissioner may extend the authority of the board of managers for a period of up to two additional years.</w:t>
            </w:r>
            <w:r>
              <w:t xml:space="preserve">  [FA1]</w:t>
            </w:r>
          </w:p>
        </w:tc>
        <w:tc>
          <w:tcPr>
            <w:tcW w:w="5760" w:type="dxa"/>
          </w:tcPr>
          <w:p w:rsidR="00AD1C1F" w:rsidRDefault="00AD1C1F">
            <w:pPr>
              <w:jc w:val="both"/>
            </w:pPr>
          </w:p>
        </w:tc>
      </w:tr>
      <w:tr w:rsidR="00AD1C1F">
        <w:tc>
          <w:tcPr>
            <w:tcW w:w="6473" w:type="dxa"/>
          </w:tcPr>
          <w:p w:rsidR="00AD1C1F" w:rsidRDefault="003A521C">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tc>
        <w:tc>
          <w:tcPr>
            <w:tcW w:w="6480" w:type="dxa"/>
          </w:tcPr>
          <w:p w:rsidR="00AD1C1F" w:rsidRDefault="003A521C">
            <w:pPr>
              <w:jc w:val="both"/>
            </w:pPr>
            <w:r>
              <w:t>SECTION 2. Same as House version.</w:t>
            </w:r>
          </w:p>
          <w:p w:rsidR="00AD1C1F" w:rsidRDefault="00AD1C1F">
            <w:pPr>
              <w:jc w:val="both"/>
            </w:pPr>
          </w:p>
          <w:p w:rsidR="00AD1C1F" w:rsidRDefault="00AD1C1F">
            <w:pPr>
              <w:jc w:val="both"/>
            </w:pPr>
          </w:p>
        </w:tc>
        <w:tc>
          <w:tcPr>
            <w:tcW w:w="5760" w:type="dxa"/>
          </w:tcPr>
          <w:p w:rsidR="00AD1C1F" w:rsidRDefault="00AD1C1F">
            <w:pPr>
              <w:jc w:val="both"/>
            </w:pPr>
          </w:p>
        </w:tc>
      </w:tr>
    </w:tbl>
    <w:p w:rsidR="00606A4C" w:rsidRDefault="00606A4C"/>
    <w:sectPr w:rsidR="00606A4C" w:rsidSect="00AD1C1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1F" w:rsidRDefault="00AD1C1F" w:rsidP="00AD1C1F">
      <w:r>
        <w:separator/>
      </w:r>
    </w:p>
  </w:endnote>
  <w:endnote w:type="continuationSeparator" w:id="0">
    <w:p w:rsidR="00AD1C1F" w:rsidRDefault="00AD1C1F" w:rsidP="00AD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59" w:rsidRDefault="000A3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C1F" w:rsidRDefault="00E557D8">
    <w:pPr>
      <w:tabs>
        <w:tab w:val="center" w:pos="9360"/>
        <w:tab w:val="right" w:pos="18720"/>
      </w:tabs>
    </w:pPr>
    <w:r>
      <w:fldChar w:fldCharType="begin"/>
    </w:r>
    <w:r>
      <w:instrText xml:space="preserve"> DOCPROPERTY  CCRF  \* MERGEFORMAT </w:instrText>
    </w:r>
    <w:r>
      <w:fldChar w:fldCharType="separate"/>
    </w:r>
    <w:r w:rsidR="000A3759">
      <w:t xml:space="preserve"> </w:t>
    </w:r>
    <w:r>
      <w:fldChar w:fldCharType="end"/>
    </w:r>
    <w:r w:rsidR="003A521C">
      <w:tab/>
    </w:r>
    <w:r w:rsidR="00AD1C1F">
      <w:fldChar w:fldCharType="begin"/>
    </w:r>
    <w:r w:rsidR="003A521C">
      <w:instrText xml:space="preserve"> PAGE </w:instrText>
    </w:r>
    <w:r w:rsidR="00AD1C1F">
      <w:fldChar w:fldCharType="separate"/>
    </w:r>
    <w:r>
      <w:rPr>
        <w:noProof/>
      </w:rPr>
      <w:t>1</w:t>
    </w:r>
    <w:r w:rsidR="00AD1C1F">
      <w:fldChar w:fldCharType="end"/>
    </w:r>
    <w:r w:rsidR="003A521C">
      <w:tab/>
    </w:r>
    <w:r>
      <w:fldChar w:fldCharType="begin"/>
    </w:r>
    <w:r>
      <w:instrText xml:space="preserve"> DOCPROPERTY  OTID  \* MERGEFORMAT </w:instrText>
    </w:r>
    <w:r>
      <w:fldChar w:fldCharType="separate"/>
    </w:r>
    <w:r w:rsidR="000A3759">
      <w:t>15.145.156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59" w:rsidRDefault="000A3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1F" w:rsidRDefault="00AD1C1F" w:rsidP="00AD1C1F">
      <w:r>
        <w:separator/>
      </w:r>
    </w:p>
  </w:footnote>
  <w:footnote w:type="continuationSeparator" w:id="0">
    <w:p w:rsidR="00AD1C1F" w:rsidRDefault="00AD1C1F" w:rsidP="00AD1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59" w:rsidRDefault="000A3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59" w:rsidRDefault="000A3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59" w:rsidRDefault="000A3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1F"/>
    <w:rsid w:val="000A3759"/>
    <w:rsid w:val="003A521C"/>
    <w:rsid w:val="00606A4C"/>
    <w:rsid w:val="007F6739"/>
    <w:rsid w:val="0081498E"/>
    <w:rsid w:val="00AD1C1F"/>
    <w:rsid w:val="00E557D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1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759"/>
    <w:pPr>
      <w:tabs>
        <w:tab w:val="center" w:pos="4680"/>
        <w:tab w:val="right" w:pos="9360"/>
      </w:tabs>
    </w:pPr>
  </w:style>
  <w:style w:type="character" w:customStyle="1" w:styleId="HeaderChar">
    <w:name w:val="Header Char"/>
    <w:basedOn w:val="DefaultParagraphFont"/>
    <w:link w:val="Header"/>
    <w:uiPriority w:val="99"/>
    <w:rsid w:val="000A3759"/>
    <w:rPr>
      <w:sz w:val="22"/>
    </w:rPr>
  </w:style>
  <w:style w:type="paragraph" w:styleId="Footer">
    <w:name w:val="footer"/>
    <w:basedOn w:val="Normal"/>
    <w:link w:val="FooterChar"/>
    <w:uiPriority w:val="99"/>
    <w:unhideWhenUsed/>
    <w:rsid w:val="000A3759"/>
    <w:pPr>
      <w:tabs>
        <w:tab w:val="center" w:pos="4680"/>
        <w:tab w:val="right" w:pos="9360"/>
      </w:tabs>
    </w:pPr>
  </w:style>
  <w:style w:type="character" w:customStyle="1" w:styleId="FooterChar">
    <w:name w:val="Footer Char"/>
    <w:basedOn w:val="DefaultParagraphFont"/>
    <w:link w:val="Footer"/>
    <w:uiPriority w:val="99"/>
    <w:rsid w:val="000A375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1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759"/>
    <w:pPr>
      <w:tabs>
        <w:tab w:val="center" w:pos="4680"/>
        <w:tab w:val="right" w:pos="9360"/>
      </w:tabs>
    </w:pPr>
  </w:style>
  <w:style w:type="character" w:customStyle="1" w:styleId="HeaderChar">
    <w:name w:val="Header Char"/>
    <w:basedOn w:val="DefaultParagraphFont"/>
    <w:link w:val="Header"/>
    <w:uiPriority w:val="99"/>
    <w:rsid w:val="000A3759"/>
    <w:rPr>
      <w:sz w:val="22"/>
    </w:rPr>
  </w:style>
  <w:style w:type="paragraph" w:styleId="Footer">
    <w:name w:val="footer"/>
    <w:basedOn w:val="Normal"/>
    <w:link w:val="FooterChar"/>
    <w:uiPriority w:val="99"/>
    <w:unhideWhenUsed/>
    <w:rsid w:val="000A3759"/>
    <w:pPr>
      <w:tabs>
        <w:tab w:val="center" w:pos="4680"/>
        <w:tab w:val="right" w:pos="9360"/>
      </w:tabs>
    </w:pPr>
  </w:style>
  <w:style w:type="character" w:customStyle="1" w:styleId="FooterChar">
    <w:name w:val="Footer Char"/>
    <w:basedOn w:val="DefaultParagraphFont"/>
    <w:link w:val="Footer"/>
    <w:uiPriority w:val="99"/>
    <w:rsid w:val="000A37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HB3106-SAA</vt:lpstr>
    </vt:vector>
  </TitlesOfParts>
  <Company>Texas Legislative Council</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HB3106-SAA</dc:title>
  <dc:creator>CDD</dc:creator>
  <cp:lastModifiedBy>ALO</cp:lastModifiedBy>
  <cp:revision>2</cp:revision>
  <dcterms:created xsi:type="dcterms:W3CDTF">2015-05-25T15:14:00Z</dcterms:created>
  <dcterms:modified xsi:type="dcterms:W3CDTF">2015-05-25T15:14:00Z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15.145.156</vt:lpwstr>
  </property>
  <property fmtid="{D5CDD505-2E9C-101B-9397-08002B2CF9AE}" pid="3" name="CCRF">
    <vt:lpwstr> </vt:lpwstr>
  </property>
</Properties>
</file>