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FF3D49" w:rsidTr="00FF3D49">
        <w:trPr>
          <w:cantSplit/>
          <w:tblHeader/>
        </w:trPr>
        <w:tc>
          <w:tcPr>
            <w:tcW w:w="18740" w:type="dxa"/>
            <w:gridSpan w:val="3"/>
          </w:tcPr>
          <w:p w:rsidR="00E4351C" w:rsidRDefault="00CC743F">
            <w:pPr>
              <w:ind w:left="650"/>
              <w:jc w:val="center"/>
            </w:pPr>
            <w:bookmarkStart w:id="0" w:name="_GoBack"/>
            <w:bookmarkEnd w:id="0"/>
            <w:r>
              <w:rPr>
                <w:b/>
              </w:rPr>
              <w:t>House Bill  2645</w:t>
            </w:r>
          </w:p>
          <w:p w:rsidR="00E4351C" w:rsidRDefault="00CC743F">
            <w:pPr>
              <w:ind w:left="650"/>
              <w:jc w:val="center"/>
            </w:pPr>
            <w:r>
              <w:t>Senate Amendments</w:t>
            </w:r>
          </w:p>
          <w:p w:rsidR="00E4351C" w:rsidRDefault="00CC743F">
            <w:pPr>
              <w:ind w:left="650"/>
              <w:jc w:val="center"/>
            </w:pPr>
            <w:r>
              <w:t>Section-by-Section Analysis</w:t>
            </w:r>
          </w:p>
          <w:p w:rsidR="00E4351C" w:rsidRDefault="00E4351C">
            <w:pPr>
              <w:jc w:val="center"/>
            </w:pPr>
          </w:p>
        </w:tc>
      </w:tr>
      <w:tr w:rsidR="00E4351C" w:rsidTr="00FF3D49">
        <w:trPr>
          <w:cantSplit/>
          <w:tblHeader/>
        </w:trPr>
        <w:tc>
          <w:tcPr>
            <w:tcW w:w="6248" w:type="dxa"/>
            <w:tcMar>
              <w:bottom w:w="188" w:type="dxa"/>
              <w:right w:w="0" w:type="dxa"/>
            </w:tcMar>
          </w:tcPr>
          <w:p w:rsidR="00E4351C" w:rsidRDefault="00CC743F">
            <w:pPr>
              <w:jc w:val="center"/>
            </w:pPr>
            <w:r>
              <w:t>HOUSE VERSION</w:t>
            </w:r>
          </w:p>
        </w:tc>
        <w:tc>
          <w:tcPr>
            <w:tcW w:w="6248" w:type="dxa"/>
            <w:tcMar>
              <w:bottom w:w="188" w:type="dxa"/>
              <w:right w:w="0" w:type="dxa"/>
            </w:tcMar>
          </w:tcPr>
          <w:p w:rsidR="00E4351C" w:rsidRDefault="00CC743F">
            <w:pPr>
              <w:jc w:val="center"/>
            </w:pPr>
            <w:r>
              <w:t>SENATE VERSION (CS)</w:t>
            </w:r>
          </w:p>
        </w:tc>
        <w:tc>
          <w:tcPr>
            <w:tcW w:w="6244" w:type="dxa"/>
            <w:tcMar>
              <w:bottom w:w="188" w:type="dxa"/>
              <w:right w:w="0" w:type="dxa"/>
            </w:tcMar>
          </w:tcPr>
          <w:p w:rsidR="00E4351C" w:rsidRDefault="00CC743F">
            <w:pPr>
              <w:jc w:val="center"/>
            </w:pPr>
            <w:r>
              <w:t>CONFERENCE</w:t>
            </w:r>
          </w:p>
        </w:tc>
      </w:tr>
      <w:tr w:rsidR="00E4351C" w:rsidTr="00FF3D49">
        <w:tc>
          <w:tcPr>
            <w:tcW w:w="6248" w:type="dxa"/>
          </w:tcPr>
          <w:p w:rsidR="00E4351C" w:rsidRDefault="00FF3D49">
            <w:pPr>
              <w:jc w:val="both"/>
            </w:pPr>
            <w:r w:rsidRPr="008A46BC">
              <w:rPr>
                <w:highlight w:val="lightGray"/>
              </w:rPr>
              <w:t>No equivalent provision.</w:t>
            </w:r>
          </w:p>
          <w:p w:rsidR="00E4351C" w:rsidRDefault="00E4351C">
            <w:pPr>
              <w:jc w:val="both"/>
            </w:pPr>
          </w:p>
        </w:tc>
        <w:tc>
          <w:tcPr>
            <w:tcW w:w="6248" w:type="dxa"/>
          </w:tcPr>
          <w:p w:rsidR="00E4351C" w:rsidRDefault="00CC743F">
            <w:pPr>
              <w:jc w:val="both"/>
            </w:pPr>
            <w:r>
              <w:t>SECTION 1.  Chapter 38, Code of Criminal Procedure, is amended by adding Article 38.371 to read as follows:</w:t>
            </w:r>
          </w:p>
          <w:p w:rsidR="00E4351C" w:rsidRDefault="00CC743F">
            <w:pPr>
              <w:jc w:val="both"/>
            </w:pPr>
            <w:r>
              <w:rPr>
                <w:u w:val="single"/>
              </w:rPr>
              <w:t>Art. 38.371.  EVIDENCE IN PROSECUTIONS OF CERTAIN OFFENSES INVOLVING FAMILY VIOLENCE.  (a)  This article applies to a proceeding in the prosecution of a defendant for an offense, or for an attempt or conspiracy to commit an offense, that is committed under:</w:t>
            </w:r>
          </w:p>
          <w:p w:rsidR="00E4351C" w:rsidRDefault="00CC743F">
            <w:pPr>
              <w:jc w:val="both"/>
            </w:pPr>
            <w:r>
              <w:rPr>
                <w:u w:val="single"/>
              </w:rPr>
              <w:t>(1)  Section 22.01 or 22.02, Penal Code, against a person whose relationship to or association with the defendant is described by Section 71.0021(b), 71.003, or 71.005, Family Code; or</w:t>
            </w:r>
          </w:p>
          <w:p w:rsidR="00E4351C" w:rsidRDefault="00CC743F">
            <w:pPr>
              <w:jc w:val="both"/>
            </w:pPr>
            <w:r>
              <w:rPr>
                <w:u w:val="single"/>
              </w:rPr>
              <w:t>(2)  Section 25.07 or 25.072, Penal Code, if the offense is based on a violation of an order or a condition of bond in a case involving family violence.</w:t>
            </w:r>
          </w:p>
          <w:p w:rsidR="00E4351C" w:rsidRDefault="00CC743F">
            <w:pPr>
              <w:jc w:val="both"/>
            </w:pPr>
            <w:r>
              <w:rPr>
                <w:u w:val="single"/>
              </w:rPr>
              <w:t>(b)  In the prosecution of an offense described by Subsection (a), subject to the Texas Rules of Evidence or other applicable law, each party may offer testimony or other evidence of all relevant facts and circumstances that would assist the trier of fact in determining whether the actor committed the offense described by Subsection (a), including testimony or evidence regarding the nature of the relationship between the actor and the alleged victim.</w:t>
            </w:r>
          </w:p>
          <w:p w:rsidR="00E4351C" w:rsidRDefault="00E4351C">
            <w:pPr>
              <w:jc w:val="both"/>
            </w:pPr>
          </w:p>
        </w:tc>
        <w:tc>
          <w:tcPr>
            <w:tcW w:w="6244" w:type="dxa"/>
          </w:tcPr>
          <w:p w:rsidR="00E4351C" w:rsidRDefault="00E4351C">
            <w:pPr>
              <w:jc w:val="both"/>
            </w:pPr>
          </w:p>
        </w:tc>
      </w:tr>
      <w:tr w:rsidR="00E4351C" w:rsidTr="00FF3D49">
        <w:tc>
          <w:tcPr>
            <w:tcW w:w="6248" w:type="dxa"/>
          </w:tcPr>
          <w:p w:rsidR="00E4351C" w:rsidRDefault="00CC743F">
            <w:pPr>
              <w:jc w:val="both"/>
            </w:pPr>
            <w:r>
              <w:t>SECTION 1.  Section 25.07(a), Penal Code, is amended to read as follows:</w:t>
            </w:r>
          </w:p>
          <w:p w:rsidR="00E4351C" w:rsidRDefault="00CC743F">
            <w:pPr>
              <w:jc w:val="both"/>
            </w:pPr>
            <w:r>
              <w:t xml:space="preserve">(a)  A person commits an offense if, in violation of a condition of bond set in a family violence, sexual assault or abuse, or stalking case and related to the safety of a victim or the safety of the community, an order issued under Article 17.292, Code of Criminal Procedure, an order issued under Section 6.504, Family Code, Chapter 83, Family Code, if the temporary ex </w:t>
            </w:r>
            <w:r>
              <w:lastRenderedPageBreak/>
              <w:t>parte order has been served on the person, or Chapter 85, Family Code, or an order issued by another jurisdiction as provided by Chapter 88, Family Code, the person knowingly or intentionally:</w:t>
            </w:r>
          </w:p>
          <w:p w:rsidR="00E4351C" w:rsidRDefault="00CC743F">
            <w:pPr>
              <w:jc w:val="both"/>
            </w:pPr>
            <w:r>
              <w:t>(1)  commits family violence or an act in furtherance of an offense under Section 22.011, 22.021, or 42.072;</w:t>
            </w:r>
          </w:p>
          <w:p w:rsidR="00E4351C" w:rsidRDefault="00CC743F">
            <w:pPr>
              <w:jc w:val="both"/>
            </w:pPr>
            <w:r>
              <w:t>(2)  communicates:</w:t>
            </w:r>
          </w:p>
          <w:p w:rsidR="00E4351C" w:rsidRDefault="00CC743F">
            <w:pPr>
              <w:jc w:val="both"/>
            </w:pPr>
            <w:r>
              <w:t>(A)  directly with a protected individual or a member of the family or household in a threatening or harassing manner;</w:t>
            </w:r>
          </w:p>
          <w:p w:rsidR="00E4351C" w:rsidRDefault="00CC743F">
            <w:pPr>
              <w:jc w:val="both"/>
            </w:pPr>
            <w:r>
              <w:t>(B)  a threat through any person to a protected individual or a member of the family or household; or</w:t>
            </w:r>
          </w:p>
          <w:p w:rsidR="00E4351C" w:rsidRDefault="00CC743F">
            <w:pPr>
              <w:jc w:val="both"/>
            </w:pPr>
            <w:r>
              <w:t>(C)  in any manner with the protected individual or a member of the family or household except through the person's attorney or a person appointed by the court, if the violation is of an order described by this subsection and the order prohibits any communication with a protected individual or a member of the family or household;</w:t>
            </w:r>
          </w:p>
          <w:p w:rsidR="00E4351C" w:rsidRDefault="00CC743F">
            <w:pPr>
              <w:jc w:val="both"/>
            </w:pPr>
            <w:r>
              <w:t>(3)  goes to or near any of the following places as specifically described in the order or condition of bond:</w:t>
            </w:r>
          </w:p>
          <w:p w:rsidR="00E4351C" w:rsidRDefault="00CC743F">
            <w:pPr>
              <w:jc w:val="both"/>
            </w:pPr>
            <w:r>
              <w:t>(A)  the residence or place of employment or business of a protected individual or a member of the family or household; or</w:t>
            </w:r>
          </w:p>
          <w:p w:rsidR="00E4351C" w:rsidRDefault="00CC743F">
            <w:pPr>
              <w:jc w:val="both"/>
            </w:pPr>
            <w:r>
              <w:t>(B)  any child care facility, residence, or school where a child protected by the order or condition of bond normally resides or attends;</w:t>
            </w:r>
          </w:p>
          <w:p w:rsidR="00E4351C" w:rsidRDefault="00CC743F">
            <w:pPr>
              <w:jc w:val="both"/>
            </w:pPr>
            <w:r>
              <w:t>(4)  possesses a firearm; [</w:t>
            </w:r>
            <w:r>
              <w:rPr>
                <w:strike/>
              </w:rPr>
              <w:t>or</w:t>
            </w:r>
            <w:r>
              <w:t>]</w:t>
            </w:r>
          </w:p>
          <w:p w:rsidR="00E4351C" w:rsidRDefault="00CC743F">
            <w:pPr>
              <w:jc w:val="both"/>
            </w:pPr>
            <w:r>
              <w:t>(5)  harms, threatens, or interferes with the care, custody, or control of a pet, companion animal, or assistance animal that is possessed by a person protected by the order</w:t>
            </w:r>
            <w:r>
              <w:rPr>
                <w:u w:val="single"/>
              </w:rPr>
              <w:t>; or</w:t>
            </w:r>
          </w:p>
          <w:p w:rsidR="00E4351C" w:rsidRDefault="00CC743F">
            <w:pPr>
              <w:jc w:val="both"/>
            </w:pPr>
            <w:r>
              <w:rPr>
                <w:u w:val="single"/>
              </w:rPr>
              <w:t xml:space="preserve">(6)  removes </w:t>
            </w:r>
            <w:r w:rsidRPr="008A46BC">
              <w:rPr>
                <w:highlight w:val="lightGray"/>
                <w:u w:val="single"/>
              </w:rPr>
              <w:t>or</w:t>
            </w:r>
            <w:r>
              <w:rPr>
                <w:u w:val="single"/>
              </w:rPr>
              <w:t xml:space="preserve"> attempts to remove a global positioning monitoring system</w:t>
            </w:r>
            <w:r>
              <w:t>.</w:t>
            </w:r>
          </w:p>
          <w:p w:rsidR="00E4351C" w:rsidRDefault="00E4351C">
            <w:pPr>
              <w:jc w:val="both"/>
            </w:pPr>
          </w:p>
        </w:tc>
        <w:tc>
          <w:tcPr>
            <w:tcW w:w="6248" w:type="dxa"/>
          </w:tcPr>
          <w:p w:rsidR="00E4351C" w:rsidRDefault="00CC743F">
            <w:pPr>
              <w:jc w:val="both"/>
            </w:pPr>
            <w:r>
              <w:lastRenderedPageBreak/>
              <w:t>SECTION 2.  Section 25.07(a), Penal Code, is amended to read as follows:</w:t>
            </w:r>
          </w:p>
          <w:p w:rsidR="00E4351C" w:rsidRDefault="00CC743F">
            <w:pPr>
              <w:jc w:val="both"/>
            </w:pPr>
            <w:r>
              <w:t xml:space="preserve">(a)  A person commits an offense if, in violation of a condition of bond set in a family violence, sexual assault or abuse, or stalking case and related to the safety of a victim or the safety of the community, an order issued under Article 17.292, Code of Criminal Procedure, an order issued under Section 6.504, Family Code, Chapter 83, Family Code, if the temporary ex </w:t>
            </w:r>
            <w:r>
              <w:lastRenderedPageBreak/>
              <w:t>parte order has been served on the person, or Chapter 85, Family Code, or an order issued by another jurisdiction as provided by Chapter 88, Family Code, the person knowingly or intentionally:</w:t>
            </w:r>
          </w:p>
          <w:p w:rsidR="00E4351C" w:rsidRDefault="00CC743F">
            <w:pPr>
              <w:jc w:val="both"/>
            </w:pPr>
            <w:r>
              <w:t>(1)  commits family violence or an act in furtherance of an offense under Section 22.011, 22.021, or 42.072;</w:t>
            </w:r>
          </w:p>
          <w:p w:rsidR="00E4351C" w:rsidRDefault="00CC743F">
            <w:pPr>
              <w:jc w:val="both"/>
            </w:pPr>
            <w:r>
              <w:t>(2)  communicates:</w:t>
            </w:r>
          </w:p>
          <w:p w:rsidR="00E4351C" w:rsidRDefault="00CC743F">
            <w:pPr>
              <w:jc w:val="both"/>
            </w:pPr>
            <w:r>
              <w:t>(A)  directly with a protected individual or a member of the family or household in a threatening or harassing manner;</w:t>
            </w:r>
          </w:p>
          <w:p w:rsidR="00E4351C" w:rsidRDefault="00CC743F">
            <w:pPr>
              <w:jc w:val="both"/>
            </w:pPr>
            <w:r>
              <w:t>(B)  a threat through any person to a protected individual or a member of the family or household; or</w:t>
            </w:r>
          </w:p>
          <w:p w:rsidR="00E4351C" w:rsidRDefault="00CC743F">
            <w:pPr>
              <w:jc w:val="both"/>
            </w:pPr>
            <w:r>
              <w:t>(C)  in any manner with the protected individual or a member of the family or household except through the person's attorney or a person appointed by the court, if the violation is of an order described by this subsection and the order prohibits any communication with a protected individual or a member of the family or household;</w:t>
            </w:r>
          </w:p>
          <w:p w:rsidR="00E4351C" w:rsidRDefault="00CC743F">
            <w:pPr>
              <w:jc w:val="both"/>
            </w:pPr>
            <w:r>
              <w:t>(3)  goes to or near any of the following places as specifically described in the order or condition of bond:</w:t>
            </w:r>
          </w:p>
          <w:p w:rsidR="00E4351C" w:rsidRDefault="00CC743F">
            <w:pPr>
              <w:jc w:val="both"/>
            </w:pPr>
            <w:r>
              <w:t>(A)  the residence or place of employment or business of a protected individual or a member of the family or household; or</w:t>
            </w:r>
          </w:p>
          <w:p w:rsidR="00E4351C" w:rsidRDefault="00CC743F">
            <w:pPr>
              <w:jc w:val="both"/>
            </w:pPr>
            <w:r>
              <w:t>(B)  any child care facility, residence, or school where a child protected by the order or condition of bond normally resides or attends;</w:t>
            </w:r>
          </w:p>
          <w:p w:rsidR="00E4351C" w:rsidRDefault="00CC743F">
            <w:pPr>
              <w:jc w:val="both"/>
            </w:pPr>
            <w:r>
              <w:t>(4)  possesses a firearm; [</w:t>
            </w:r>
            <w:r>
              <w:rPr>
                <w:strike/>
              </w:rPr>
              <w:t>or</w:t>
            </w:r>
            <w:r>
              <w:t>]</w:t>
            </w:r>
          </w:p>
          <w:p w:rsidR="00E4351C" w:rsidRDefault="00CC743F">
            <w:pPr>
              <w:jc w:val="both"/>
            </w:pPr>
            <w:r>
              <w:t>(5)  harms, threatens, or interferes with the care, custody, or control of a pet, companion animal, or assistance animal that is possessed by a person protected by the order</w:t>
            </w:r>
            <w:r>
              <w:rPr>
                <w:u w:val="single"/>
              </w:rPr>
              <w:t>; or</w:t>
            </w:r>
          </w:p>
          <w:p w:rsidR="00E4351C" w:rsidRDefault="00CC743F">
            <w:pPr>
              <w:jc w:val="both"/>
            </w:pPr>
            <w:r>
              <w:rPr>
                <w:u w:val="single"/>
              </w:rPr>
              <w:t xml:space="preserve">(6)  removes, attempts to remove, </w:t>
            </w:r>
            <w:r w:rsidRPr="008A46BC">
              <w:rPr>
                <w:highlight w:val="lightGray"/>
                <w:u w:val="single"/>
              </w:rPr>
              <w:t>or otherwise tampers with the normal functioning of</w:t>
            </w:r>
            <w:r>
              <w:rPr>
                <w:u w:val="single"/>
              </w:rPr>
              <w:t xml:space="preserve"> a global positioning monitoring system</w:t>
            </w:r>
            <w:r>
              <w:t>.</w:t>
            </w:r>
          </w:p>
          <w:p w:rsidR="00E4351C" w:rsidRDefault="00E4351C">
            <w:pPr>
              <w:jc w:val="both"/>
            </w:pPr>
          </w:p>
        </w:tc>
        <w:tc>
          <w:tcPr>
            <w:tcW w:w="6244" w:type="dxa"/>
          </w:tcPr>
          <w:p w:rsidR="00E4351C" w:rsidRDefault="00E4351C">
            <w:pPr>
              <w:jc w:val="both"/>
            </w:pPr>
          </w:p>
        </w:tc>
      </w:tr>
      <w:tr w:rsidR="00E4351C" w:rsidTr="00FF3D49">
        <w:tc>
          <w:tcPr>
            <w:tcW w:w="6248" w:type="dxa"/>
          </w:tcPr>
          <w:p w:rsidR="00E4351C" w:rsidRDefault="00CC743F">
            <w:pPr>
              <w:jc w:val="both"/>
            </w:pPr>
            <w:r>
              <w:lastRenderedPageBreak/>
              <w:t>SECTION 2.  Section 25.07(b), Penal Code, is amended by adding Subdivision (2-a) to read as follows:</w:t>
            </w:r>
          </w:p>
          <w:p w:rsidR="00E4351C" w:rsidRDefault="00CC743F">
            <w:pPr>
              <w:jc w:val="both"/>
            </w:pPr>
            <w:r>
              <w:rPr>
                <w:u w:val="single"/>
              </w:rPr>
              <w:t>(2-a)  "Global positioning monitoring system" has the meaning assigned by Article 17.49, Code of Criminal Procedure.</w:t>
            </w:r>
          </w:p>
          <w:p w:rsidR="00E4351C" w:rsidRDefault="00E4351C">
            <w:pPr>
              <w:jc w:val="both"/>
            </w:pPr>
          </w:p>
        </w:tc>
        <w:tc>
          <w:tcPr>
            <w:tcW w:w="6248" w:type="dxa"/>
          </w:tcPr>
          <w:p w:rsidR="00E4351C" w:rsidRDefault="00CC743F">
            <w:pPr>
              <w:jc w:val="both"/>
            </w:pPr>
            <w:r>
              <w:t>SECTION 3. Same as House version.</w:t>
            </w:r>
          </w:p>
          <w:p w:rsidR="00E4351C" w:rsidRDefault="00E4351C">
            <w:pPr>
              <w:jc w:val="both"/>
            </w:pPr>
          </w:p>
          <w:p w:rsidR="00E4351C" w:rsidRDefault="00E4351C">
            <w:pPr>
              <w:jc w:val="both"/>
            </w:pPr>
          </w:p>
        </w:tc>
        <w:tc>
          <w:tcPr>
            <w:tcW w:w="6244" w:type="dxa"/>
          </w:tcPr>
          <w:p w:rsidR="00E4351C" w:rsidRDefault="00E4351C">
            <w:pPr>
              <w:jc w:val="both"/>
            </w:pPr>
          </w:p>
        </w:tc>
      </w:tr>
      <w:tr w:rsidR="00E4351C" w:rsidTr="00FF3D49">
        <w:tc>
          <w:tcPr>
            <w:tcW w:w="6248" w:type="dxa"/>
          </w:tcPr>
          <w:p w:rsidR="00FF3D49" w:rsidRDefault="00CA3E08">
            <w:pPr>
              <w:jc w:val="both"/>
            </w:pPr>
            <w:r>
              <w:t xml:space="preserve">SECTION 3.  </w:t>
            </w:r>
          </w:p>
          <w:p w:rsidR="00FF3D49" w:rsidRDefault="00FF3D49">
            <w:pPr>
              <w:jc w:val="both"/>
            </w:pPr>
          </w:p>
          <w:p w:rsidR="00FF3D49" w:rsidRDefault="00FF3D49">
            <w:pPr>
              <w:jc w:val="both"/>
            </w:pPr>
          </w:p>
          <w:p w:rsidR="00FF3D49" w:rsidRDefault="00FF3D49">
            <w:pPr>
              <w:jc w:val="both"/>
            </w:pPr>
          </w:p>
          <w:p w:rsidR="00FF3D49" w:rsidRDefault="00FF3D49">
            <w:pPr>
              <w:jc w:val="both"/>
            </w:pPr>
          </w:p>
          <w:p w:rsidR="00FF3D49" w:rsidRDefault="00FF3D49">
            <w:pPr>
              <w:jc w:val="both"/>
            </w:pPr>
          </w:p>
          <w:p w:rsidR="00FF3D49" w:rsidRDefault="00FF3D49">
            <w:pPr>
              <w:jc w:val="both"/>
            </w:pPr>
          </w:p>
          <w:p w:rsidR="00FF3D49" w:rsidRDefault="00FF3D49">
            <w:pPr>
              <w:jc w:val="both"/>
            </w:pPr>
          </w:p>
          <w:p w:rsidR="00E4351C" w:rsidRDefault="00CC743F">
            <w:pPr>
              <w:jc w:val="both"/>
            </w:pP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w:t>
            </w:r>
            <w:r w:rsidRPr="008A46BC">
              <w:rPr>
                <w:highlight w:val="lightGray"/>
              </w:rPr>
              <w:t>section</w:t>
            </w:r>
            <w:r>
              <w:t>, an offense was committed before the effective date of this Act if any element of the offense occurred before that date.</w:t>
            </w:r>
          </w:p>
          <w:p w:rsidR="00E4351C" w:rsidRDefault="00E4351C">
            <w:pPr>
              <w:jc w:val="both"/>
            </w:pPr>
          </w:p>
        </w:tc>
        <w:tc>
          <w:tcPr>
            <w:tcW w:w="6248" w:type="dxa"/>
          </w:tcPr>
          <w:p w:rsidR="00FF3D49" w:rsidRDefault="00FF3D49" w:rsidP="00FF3D49">
            <w:pPr>
              <w:jc w:val="both"/>
            </w:pPr>
            <w:r>
              <w:t xml:space="preserve">SECTION 4.  </w:t>
            </w:r>
            <w:r w:rsidRPr="008A46BC">
              <w:rPr>
                <w:highlight w:val="lightGray"/>
              </w:rPr>
              <w:t>(a)  The change in law made by this Act in adding Article 38.371, Code of Criminal Procedure, applies to the admissibility of evidence in a criminal proceeding that commences on or after the effective date of this Act. The admissibility of evidence in a criminal proceeding that commences before the effective date of this Act is governed by the law in effect on the date the proceeding commenced, and the former law is continued in effect for that purpose.</w:t>
            </w:r>
          </w:p>
          <w:p w:rsidR="00FF3D49" w:rsidRDefault="00FF3D49" w:rsidP="00FF3D49">
            <w:pPr>
              <w:jc w:val="both"/>
            </w:pPr>
            <w:r>
              <w:t xml:space="preserve">(b)  The change in law made by this Act </w:t>
            </w:r>
            <w:r w:rsidRPr="008A46BC">
              <w:rPr>
                <w:highlight w:val="lightGray"/>
              </w:rPr>
              <w:t>in amending Section 25.07, Penal Code</w:t>
            </w:r>
            <w:r>
              <w:t xml:space="preserve">,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w:t>
            </w:r>
            <w:r w:rsidRPr="008A46BC">
              <w:rPr>
                <w:highlight w:val="lightGray"/>
              </w:rPr>
              <w:t>subsection</w:t>
            </w:r>
            <w:r>
              <w:t>, an offense was committed before the effective date of this Act if any element of the offense occurred before that date.</w:t>
            </w:r>
          </w:p>
          <w:p w:rsidR="00E4351C" w:rsidRDefault="00E4351C">
            <w:pPr>
              <w:jc w:val="both"/>
            </w:pPr>
          </w:p>
        </w:tc>
        <w:tc>
          <w:tcPr>
            <w:tcW w:w="6244" w:type="dxa"/>
          </w:tcPr>
          <w:p w:rsidR="00E4351C" w:rsidRDefault="00E4351C">
            <w:pPr>
              <w:jc w:val="both"/>
            </w:pPr>
          </w:p>
        </w:tc>
      </w:tr>
      <w:tr w:rsidR="00E4351C" w:rsidTr="00FF3D49">
        <w:tc>
          <w:tcPr>
            <w:tcW w:w="6248" w:type="dxa"/>
          </w:tcPr>
          <w:p w:rsidR="00E4351C" w:rsidRDefault="00CC743F">
            <w:pPr>
              <w:jc w:val="both"/>
            </w:pPr>
            <w:r>
              <w:t>SECTION 4.  This Act takes effect September 1, 2015.</w:t>
            </w:r>
          </w:p>
          <w:p w:rsidR="00E4351C" w:rsidRDefault="00E4351C">
            <w:pPr>
              <w:jc w:val="both"/>
            </w:pPr>
          </w:p>
        </w:tc>
        <w:tc>
          <w:tcPr>
            <w:tcW w:w="6248" w:type="dxa"/>
          </w:tcPr>
          <w:p w:rsidR="00E4351C" w:rsidRDefault="00CC743F">
            <w:pPr>
              <w:jc w:val="both"/>
            </w:pPr>
            <w:r>
              <w:t>SECTION 5. Same as House version.</w:t>
            </w:r>
          </w:p>
          <w:p w:rsidR="00E4351C" w:rsidRDefault="00E4351C">
            <w:pPr>
              <w:jc w:val="both"/>
            </w:pPr>
          </w:p>
          <w:p w:rsidR="00E4351C" w:rsidRDefault="00E4351C">
            <w:pPr>
              <w:jc w:val="both"/>
            </w:pPr>
          </w:p>
        </w:tc>
        <w:tc>
          <w:tcPr>
            <w:tcW w:w="6244" w:type="dxa"/>
          </w:tcPr>
          <w:p w:rsidR="00E4351C" w:rsidRDefault="00E4351C">
            <w:pPr>
              <w:jc w:val="both"/>
            </w:pPr>
          </w:p>
        </w:tc>
      </w:tr>
    </w:tbl>
    <w:p w:rsidR="004928D9" w:rsidRDefault="004928D9"/>
    <w:sectPr w:rsidR="004928D9" w:rsidSect="00E4351C">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82" w:rsidRDefault="00FD1D82" w:rsidP="00E4351C">
      <w:r>
        <w:separator/>
      </w:r>
    </w:p>
  </w:endnote>
  <w:endnote w:type="continuationSeparator" w:id="0">
    <w:p w:rsidR="00FD1D82" w:rsidRDefault="00FD1D82" w:rsidP="00E4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74" w:rsidRDefault="000C0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1C" w:rsidRDefault="008E0900">
    <w:pPr>
      <w:tabs>
        <w:tab w:val="center" w:pos="9360"/>
        <w:tab w:val="right" w:pos="18720"/>
      </w:tabs>
    </w:pPr>
    <w:fldSimple w:instr=" DOCPROPERTY  CCRF  \* MERGEFORMAT ">
      <w:r w:rsidR="008A46BC">
        <w:t xml:space="preserve"> </w:t>
      </w:r>
    </w:fldSimple>
    <w:r w:rsidR="00CC743F">
      <w:tab/>
    </w:r>
    <w:r w:rsidR="00E4351C">
      <w:fldChar w:fldCharType="begin"/>
    </w:r>
    <w:r w:rsidR="00CC743F">
      <w:instrText xml:space="preserve"> PAGE </w:instrText>
    </w:r>
    <w:r w:rsidR="00E4351C">
      <w:fldChar w:fldCharType="separate"/>
    </w:r>
    <w:r w:rsidR="00346093">
      <w:rPr>
        <w:noProof/>
      </w:rPr>
      <w:t>1</w:t>
    </w:r>
    <w:r w:rsidR="00E4351C">
      <w:fldChar w:fldCharType="end"/>
    </w:r>
    <w:r w:rsidR="00CC743F">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74" w:rsidRDefault="000C0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82" w:rsidRDefault="00FD1D82" w:rsidP="00E4351C">
      <w:r>
        <w:separator/>
      </w:r>
    </w:p>
  </w:footnote>
  <w:footnote w:type="continuationSeparator" w:id="0">
    <w:p w:rsidR="00FD1D82" w:rsidRDefault="00FD1D82" w:rsidP="00E43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74" w:rsidRDefault="000C0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74" w:rsidRDefault="000C0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74" w:rsidRDefault="000C0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51C"/>
    <w:rsid w:val="000C0674"/>
    <w:rsid w:val="00346093"/>
    <w:rsid w:val="004928D9"/>
    <w:rsid w:val="008A46BC"/>
    <w:rsid w:val="008E0900"/>
    <w:rsid w:val="00CA3E08"/>
    <w:rsid w:val="00CA4F14"/>
    <w:rsid w:val="00CC743F"/>
    <w:rsid w:val="00E4351C"/>
    <w:rsid w:val="00FD1D82"/>
    <w:rsid w:val="00FF3D49"/>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1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674"/>
    <w:pPr>
      <w:tabs>
        <w:tab w:val="center" w:pos="4680"/>
        <w:tab w:val="right" w:pos="9360"/>
      </w:tabs>
    </w:pPr>
  </w:style>
  <w:style w:type="character" w:customStyle="1" w:styleId="HeaderChar">
    <w:name w:val="Header Char"/>
    <w:link w:val="Header"/>
    <w:uiPriority w:val="99"/>
    <w:rsid w:val="000C0674"/>
    <w:rPr>
      <w:sz w:val="22"/>
    </w:rPr>
  </w:style>
  <w:style w:type="paragraph" w:styleId="Footer">
    <w:name w:val="footer"/>
    <w:basedOn w:val="Normal"/>
    <w:link w:val="FooterChar"/>
    <w:uiPriority w:val="99"/>
    <w:unhideWhenUsed/>
    <w:rsid w:val="000C0674"/>
    <w:pPr>
      <w:tabs>
        <w:tab w:val="center" w:pos="4680"/>
        <w:tab w:val="right" w:pos="9360"/>
      </w:tabs>
    </w:pPr>
  </w:style>
  <w:style w:type="character" w:customStyle="1" w:styleId="FooterChar">
    <w:name w:val="Footer Char"/>
    <w:link w:val="Footer"/>
    <w:uiPriority w:val="99"/>
    <w:rsid w:val="000C067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1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674"/>
    <w:pPr>
      <w:tabs>
        <w:tab w:val="center" w:pos="4680"/>
        <w:tab w:val="right" w:pos="9360"/>
      </w:tabs>
    </w:pPr>
  </w:style>
  <w:style w:type="character" w:customStyle="1" w:styleId="HeaderChar">
    <w:name w:val="Header Char"/>
    <w:link w:val="Header"/>
    <w:uiPriority w:val="99"/>
    <w:rsid w:val="000C0674"/>
    <w:rPr>
      <w:sz w:val="22"/>
    </w:rPr>
  </w:style>
  <w:style w:type="paragraph" w:styleId="Footer">
    <w:name w:val="footer"/>
    <w:basedOn w:val="Normal"/>
    <w:link w:val="FooterChar"/>
    <w:uiPriority w:val="99"/>
    <w:unhideWhenUsed/>
    <w:rsid w:val="000C0674"/>
    <w:pPr>
      <w:tabs>
        <w:tab w:val="center" w:pos="4680"/>
        <w:tab w:val="right" w:pos="9360"/>
      </w:tabs>
    </w:pPr>
  </w:style>
  <w:style w:type="character" w:customStyle="1" w:styleId="FooterChar">
    <w:name w:val="Footer Char"/>
    <w:link w:val="Footer"/>
    <w:uiPriority w:val="99"/>
    <w:rsid w:val="000C06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HB2645-SAA</vt:lpstr>
    </vt:vector>
  </TitlesOfParts>
  <Company>Texas Legislative Council</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HB2645-SAA</dc:title>
  <dc:creator>BTF</dc:creator>
  <cp:lastModifiedBy>BTF</cp:lastModifiedBy>
  <cp:revision>2</cp:revision>
  <dcterms:created xsi:type="dcterms:W3CDTF">2015-05-27T15:54:00Z</dcterms:created>
  <dcterms:modified xsi:type="dcterms:W3CDTF">2015-05-27T15:54:00Z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