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E2175" w:rsidTr="00AE2175">
        <w:trPr>
          <w:cantSplit/>
          <w:tblHeader/>
        </w:trPr>
        <w:tc>
          <w:tcPr>
            <w:tcW w:w="18713" w:type="dxa"/>
            <w:gridSpan w:val="3"/>
          </w:tcPr>
          <w:p w:rsidR="006E7C63" w:rsidRDefault="00C314F1">
            <w:pPr>
              <w:ind w:left="650"/>
              <w:jc w:val="center"/>
            </w:pPr>
            <w:bookmarkStart w:id="0" w:name="_GoBack"/>
            <w:bookmarkEnd w:id="0"/>
            <w:r>
              <w:rPr>
                <w:b/>
              </w:rPr>
              <w:t>House Bill  2019</w:t>
            </w:r>
          </w:p>
          <w:p w:rsidR="006E7C63" w:rsidRDefault="00C314F1">
            <w:pPr>
              <w:ind w:left="650"/>
              <w:jc w:val="center"/>
            </w:pPr>
            <w:r>
              <w:t>Senate Amendments</w:t>
            </w:r>
          </w:p>
          <w:p w:rsidR="006E7C63" w:rsidRDefault="00C314F1">
            <w:pPr>
              <w:ind w:left="650"/>
              <w:jc w:val="center"/>
            </w:pPr>
            <w:r>
              <w:t>Section-by-Section Analysis</w:t>
            </w:r>
          </w:p>
          <w:p w:rsidR="006E7C63" w:rsidRDefault="006E7C63">
            <w:pPr>
              <w:jc w:val="center"/>
            </w:pPr>
          </w:p>
        </w:tc>
      </w:tr>
      <w:tr w:rsidR="006E7C63">
        <w:trPr>
          <w:cantSplit/>
          <w:tblHeader/>
        </w:trPr>
        <w:tc>
          <w:tcPr>
            <w:tcW w:w="1667" w:type="pct"/>
            <w:tcMar>
              <w:bottom w:w="188" w:type="dxa"/>
              <w:right w:w="0" w:type="dxa"/>
            </w:tcMar>
          </w:tcPr>
          <w:p w:rsidR="006E7C63" w:rsidRDefault="00C314F1">
            <w:pPr>
              <w:jc w:val="center"/>
            </w:pPr>
            <w:r>
              <w:t>HOUSE VERSION</w:t>
            </w:r>
          </w:p>
        </w:tc>
        <w:tc>
          <w:tcPr>
            <w:tcW w:w="1667" w:type="pct"/>
            <w:tcMar>
              <w:bottom w:w="188" w:type="dxa"/>
              <w:right w:w="0" w:type="dxa"/>
            </w:tcMar>
          </w:tcPr>
          <w:p w:rsidR="006E7C63" w:rsidRDefault="00C314F1">
            <w:pPr>
              <w:jc w:val="center"/>
            </w:pPr>
            <w:r>
              <w:t>SENATE VERSION (CS)</w:t>
            </w:r>
          </w:p>
        </w:tc>
        <w:tc>
          <w:tcPr>
            <w:tcW w:w="1667" w:type="pct"/>
            <w:tcMar>
              <w:bottom w:w="188" w:type="dxa"/>
              <w:right w:w="0" w:type="dxa"/>
            </w:tcMar>
          </w:tcPr>
          <w:p w:rsidR="006E7C63" w:rsidRDefault="00C314F1">
            <w:pPr>
              <w:jc w:val="center"/>
            </w:pPr>
            <w:r>
              <w:t>CONFERENCE</w:t>
            </w:r>
          </w:p>
        </w:tc>
      </w:tr>
      <w:tr w:rsidR="006E7C63">
        <w:tc>
          <w:tcPr>
            <w:tcW w:w="6473" w:type="dxa"/>
          </w:tcPr>
          <w:p w:rsidR="006E7C63" w:rsidRDefault="00C314F1">
            <w:pPr>
              <w:jc w:val="both"/>
            </w:pPr>
            <w:r>
              <w:t>SECTION 1.  Section 352.002(a-1), Tax Code, is amended to read as follows:</w:t>
            </w:r>
          </w:p>
          <w:p w:rsidR="00AE2175" w:rsidRDefault="00AE2175">
            <w:pPr>
              <w:jc w:val="both"/>
            </w:pPr>
          </w:p>
          <w:p w:rsidR="006E7C63" w:rsidRDefault="00C314F1">
            <w:pPr>
              <w:jc w:val="both"/>
            </w:pPr>
            <w:r>
              <w:t xml:space="preserve">(a-1)  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  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w:t>
            </w:r>
            <w:r>
              <w:rPr>
                <w:u w:val="single"/>
              </w:rPr>
              <w:t>150,000</w:t>
            </w:r>
            <w:r>
              <w:t xml:space="preserve"> [</w:t>
            </w:r>
            <w:r>
              <w:rPr>
                <w:strike/>
              </w:rPr>
              <w:t>125,000</w:t>
            </w:r>
            <w:r>
              <w:t>].  This subsection does not apply to a county described by Subsection (a)(13).</w:t>
            </w:r>
          </w:p>
          <w:p w:rsidR="006E7C63" w:rsidRDefault="006E7C63">
            <w:pPr>
              <w:jc w:val="both"/>
            </w:pPr>
          </w:p>
        </w:tc>
        <w:tc>
          <w:tcPr>
            <w:tcW w:w="6480" w:type="dxa"/>
          </w:tcPr>
          <w:p w:rsidR="006E7C63" w:rsidRDefault="00C314F1">
            <w:pPr>
              <w:jc w:val="both"/>
            </w:pPr>
            <w:r>
              <w:t>SECTION 1.  Section 352.002, Tax Code, is amended by amending Subsection (a-1) and adding Subsection (n) to read as follows:</w:t>
            </w:r>
          </w:p>
          <w:p w:rsidR="006E7C63" w:rsidRDefault="00C314F1">
            <w:pPr>
              <w:jc w:val="both"/>
            </w:pPr>
            <w:r>
              <w:t xml:space="preserve">(a-1)  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  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w:t>
            </w:r>
            <w:r>
              <w:rPr>
                <w:u w:val="single"/>
              </w:rPr>
              <w:t>150,000</w:t>
            </w:r>
            <w:r>
              <w:t xml:space="preserve"> [</w:t>
            </w:r>
            <w:r>
              <w:rPr>
                <w:strike/>
              </w:rPr>
              <w:t>125,000</w:t>
            </w:r>
            <w:r>
              <w:t>].  This subsection does not apply to a county described by Subsection (a)(13).</w:t>
            </w:r>
          </w:p>
          <w:p w:rsidR="006E7C63" w:rsidRDefault="00C314F1">
            <w:pPr>
              <w:jc w:val="both"/>
            </w:pPr>
            <w:r w:rsidRPr="00664F3A">
              <w:rPr>
                <w:u w:val="single"/>
              </w:rPr>
              <w:t xml:space="preserve">(n)  </w:t>
            </w:r>
            <w:r w:rsidRPr="00AE2175">
              <w:rPr>
                <w:highlight w:val="lightGray"/>
                <w:u w:val="single"/>
              </w:rPr>
              <w:t>The commissioners court of a county with a population of more than 300,000 and in which there is located all or part of the most populous military installation in this state may impose a tax as provided by Subsection (a).</w:t>
            </w:r>
          </w:p>
          <w:p w:rsidR="006E7C63" w:rsidRDefault="006E7C63">
            <w:pPr>
              <w:jc w:val="both"/>
            </w:pPr>
          </w:p>
        </w:tc>
        <w:tc>
          <w:tcPr>
            <w:tcW w:w="5760" w:type="dxa"/>
          </w:tcPr>
          <w:p w:rsidR="006E7C63" w:rsidRDefault="006E7C63">
            <w:pPr>
              <w:jc w:val="both"/>
            </w:pPr>
          </w:p>
        </w:tc>
      </w:tr>
      <w:tr w:rsidR="006E7C63">
        <w:tc>
          <w:tcPr>
            <w:tcW w:w="6473" w:type="dxa"/>
          </w:tcPr>
          <w:p w:rsidR="006E7C63" w:rsidRDefault="00C314F1">
            <w:pPr>
              <w:jc w:val="both"/>
            </w:pPr>
            <w:r w:rsidRPr="00AE2175">
              <w:rPr>
                <w:highlight w:val="lightGray"/>
              </w:rPr>
              <w:t>No equivalent provision.</w:t>
            </w:r>
          </w:p>
          <w:p w:rsidR="006E7C63" w:rsidRDefault="006E7C63">
            <w:pPr>
              <w:jc w:val="both"/>
            </w:pPr>
          </w:p>
        </w:tc>
        <w:tc>
          <w:tcPr>
            <w:tcW w:w="6480" w:type="dxa"/>
          </w:tcPr>
          <w:p w:rsidR="006E7C63" w:rsidRDefault="00C314F1">
            <w:pPr>
              <w:jc w:val="both"/>
            </w:pPr>
            <w:r>
              <w:t>SECTION 2.  Section 352.003, Tax Code, is amended by adding Subsection (p) to read as follows:</w:t>
            </w:r>
          </w:p>
          <w:p w:rsidR="006E7C63" w:rsidRDefault="00C314F1">
            <w:pPr>
              <w:jc w:val="both"/>
            </w:pPr>
            <w:r>
              <w:rPr>
                <w:u w:val="single"/>
              </w:rPr>
              <w:t>(p)  In a county authorized to impose the tax under Section 352.002(n), the county tax rate in relation to a hotel located in a municipality that imposes a tax under Chapter 351 may not exceed a rate that, when added to the rate of the tax imposed by the municipality under Chapter 351, exceeds the sum of the rate prescribed by Section 351.003(a) plus two percent.</w:t>
            </w:r>
          </w:p>
          <w:p w:rsidR="006E7C63" w:rsidRDefault="006E7C63">
            <w:pPr>
              <w:jc w:val="both"/>
            </w:pPr>
          </w:p>
        </w:tc>
        <w:tc>
          <w:tcPr>
            <w:tcW w:w="5760" w:type="dxa"/>
          </w:tcPr>
          <w:p w:rsidR="006E7C63" w:rsidRDefault="006E7C63">
            <w:pPr>
              <w:jc w:val="both"/>
            </w:pPr>
          </w:p>
        </w:tc>
      </w:tr>
      <w:tr w:rsidR="006E7C63">
        <w:tc>
          <w:tcPr>
            <w:tcW w:w="6473" w:type="dxa"/>
          </w:tcPr>
          <w:p w:rsidR="006E7C63" w:rsidRDefault="00C314F1">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6E7C63" w:rsidRDefault="006E7C63">
            <w:pPr>
              <w:jc w:val="both"/>
            </w:pPr>
          </w:p>
        </w:tc>
        <w:tc>
          <w:tcPr>
            <w:tcW w:w="6480" w:type="dxa"/>
          </w:tcPr>
          <w:p w:rsidR="006E7C63" w:rsidRDefault="00C314F1">
            <w:pPr>
              <w:jc w:val="both"/>
            </w:pPr>
            <w:r>
              <w:t>SECTION 3. Same as House version.</w:t>
            </w:r>
          </w:p>
          <w:p w:rsidR="006E7C63" w:rsidRDefault="006E7C63">
            <w:pPr>
              <w:jc w:val="both"/>
            </w:pPr>
          </w:p>
          <w:p w:rsidR="006E7C63" w:rsidRDefault="006E7C63">
            <w:pPr>
              <w:jc w:val="both"/>
            </w:pPr>
          </w:p>
        </w:tc>
        <w:tc>
          <w:tcPr>
            <w:tcW w:w="5760" w:type="dxa"/>
          </w:tcPr>
          <w:p w:rsidR="006E7C63" w:rsidRDefault="006E7C63">
            <w:pPr>
              <w:jc w:val="both"/>
            </w:pPr>
          </w:p>
        </w:tc>
      </w:tr>
    </w:tbl>
    <w:p w:rsidR="008E0657" w:rsidRDefault="008E0657"/>
    <w:sectPr w:rsidR="008E0657" w:rsidSect="006E7C6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63" w:rsidRDefault="006E7C63" w:rsidP="006E7C63">
      <w:r>
        <w:separator/>
      </w:r>
    </w:p>
  </w:endnote>
  <w:endnote w:type="continuationSeparator" w:id="0">
    <w:p w:rsidR="006E7C63" w:rsidRDefault="006E7C63" w:rsidP="006E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DC" w:rsidRDefault="00F51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63" w:rsidRDefault="004F7DCE">
    <w:pPr>
      <w:tabs>
        <w:tab w:val="center" w:pos="9360"/>
        <w:tab w:val="right" w:pos="18720"/>
      </w:tabs>
    </w:pPr>
    <w:r>
      <w:fldChar w:fldCharType="begin"/>
    </w:r>
    <w:r>
      <w:instrText xml:space="preserve"> DOCPROPERTY  CCRF  \* MERGEFORMAT </w:instrText>
    </w:r>
    <w:r>
      <w:fldChar w:fldCharType="separate"/>
    </w:r>
    <w:r w:rsidR="00F519DC">
      <w:t xml:space="preserve"> </w:t>
    </w:r>
    <w:r>
      <w:fldChar w:fldCharType="end"/>
    </w:r>
    <w:r w:rsidR="00C314F1">
      <w:tab/>
    </w:r>
    <w:r w:rsidR="006E7C63">
      <w:fldChar w:fldCharType="begin"/>
    </w:r>
    <w:r w:rsidR="00C314F1">
      <w:instrText xml:space="preserve"> PAGE </w:instrText>
    </w:r>
    <w:r w:rsidR="006E7C63">
      <w:fldChar w:fldCharType="separate"/>
    </w:r>
    <w:r>
      <w:rPr>
        <w:noProof/>
      </w:rPr>
      <w:t>2</w:t>
    </w:r>
    <w:r w:rsidR="006E7C63">
      <w:fldChar w:fldCharType="end"/>
    </w:r>
    <w:r w:rsidR="00C314F1">
      <w:tab/>
    </w:r>
    <w:r>
      <w:fldChar w:fldCharType="begin"/>
    </w:r>
    <w:r>
      <w:instrText xml:space="preserve"> DOCPROPERTY  OTID  \* MERGEFORMAT </w:instrText>
    </w:r>
    <w:r>
      <w:fldChar w:fldCharType="separate"/>
    </w:r>
    <w:r w:rsidR="00F519DC">
      <w:t>15.146.1031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DC" w:rsidRDefault="00F5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63" w:rsidRDefault="006E7C63" w:rsidP="006E7C63">
      <w:r>
        <w:separator/>
      </w:r>
    </w:p>
  </w:footnote>
  <w:footnote w:type="continuationSeparator" w:id="0">
    <w:p w:rsidR="006E7C63" w:rsidRDefault="006E7C63" w:rsidP="006E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DC" w:rsidRDefault="00F51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DC" w:rsidRDefault="00F51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DC" w:rsidRDefault="00F51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63"/>
    <w:rsid w:val="004F7DCE"/>
    <w:rsid w:val="00664F3A"/>
    <w:rsid w:val="006E7C63"/>
    <w:rsid w:val="008E0657"/>
    <w:rsid w:val="00AE2175"/>
    <w:rsid w:val="00C314F1"/>
    <w:rsid w:val="00F519D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DC"/>
    <w:pPr>
      <w:tabs>
        <w:tab w:val="center" w:pos="4680"/>
        <w:tab w:val="right" w:pos="9360"/>
      </w:tabs>
    </w:pPr>
  </w:style>
  <w:style w:type="character" w:customStyle="1" w:styleId="HeaderChar">
    <w:name w:val="Header Char"/>
    <w:basedOn w:val="DefaultParagraphFont"/>
    <w:link w:val="Header"/>
    <w:uiPriority w:val="99"/>
    <w:rsid w:val="00F519DC"/>
    <w:rPr>
      <w:sz w:val="22"/>
    </w:rPr>
  </w:style>
  <w:style w:type="paragraph" w:styleId="Footer">
    <w:name w:val="footer"/>
    <w:basedOn w:val="Normal"/>
    <w:link w:val="FooterChar"/>
    <w:uiPriority w:val="99"/>
    <w:unhideWhenUsed/>
    <w:rsid w:val="00F519DC"/>
    <w:pPr>
      <w:tabs>
        <w:tab w:val="center" w:pos="4680"/>
        <w:tab w:val="right" w:pos="9360"/>
      </w:tabs>
    </w:pPr>
  </w:style>
  <w:style w:type="character" w:customStyle="1" w:styleId="FooterChar">
    <w:name w:val="Footer Char"/>
    <w:basedOn w:val="DefaultParagraphFont"/>
    <w:link w:val="Footer"/>
    <w:uiPriority w:val="99"/>
    <w:rsid w:val="00F519D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DC"/>
    <w:pPr>
      <w:tabs>
        <w:tab w:val="center" w:pos="4680"/>
        <w:tab w:val="right" w:pos="9360"/>
      </w:tabs>
    </w:pPr>
  </w:style>
  <w:style w:type="character" w:customStyle="1" w:styleId="HeaderChar">
    <w:name w:val="Header Char"/>
    <w:basedOn w:val="DefaultParagraphFont"/>
    <w:link w:val="Header"/>
    <w:uiPriority w:val="99"/>
    <w:rsid w:val="00F519DC"/>
    <w:rPr>
      <w:sz w:val="22"/>
    </w:rPr>
  </w:style>
  <w:style w:type="paragraph" w:styleId="Footer">
    <w:name w:val="footer"/>
    <w:basedOn w:val="Normal"/>
    <w:link w:val="FooterChar"/>
    <w:uiPriority w:val="99"/>
    <w:unhideWhenUsed/>
    <w:rsid w:val="00F519DC"/>
    <w:pPr>
      <w:tabs>
        <w:tab w:val="center" w:pos="4680"/>
        <w:tab w:val="right" w:pos="9360"/>
      </w:tabs>
    </w:pPr>
  </w:style>
  <w:style w:type="character" w:customStyle="1" w:styleId="FooterChar">
    <w:name w:val="Footer Char"/>
    <w:basedOn w:val="DefaultParagraphFont"/>
    <w:link w:val="Footer"/>
    <w:uiPriority w:val="99"/>
    <w:rsid w:val="00F519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HB2019-SAA</vt:lpstr>
    </vt:vector>
  </TitlesOfParts>
  <Company>Texas Legislative Council</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HB2019-SAA</dc:title>
  <dc:creator>CBC</dc:creator>
  <cp:lastModifiedBy>ALO</cp:lastModifiedBy>
  <cp:revision>2</cp:revision>
  <dcterms:created xsi:type="dcterms:W3CDTF">2015-05-27T01:21:00Z</dcterms:created>
  <dcterms:modified xsi:type="dcterms:W3CDTF">2015-05-27T01:21:00Z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15.146.1031</vt:lpwstr>
  </property>
  <property fmtid="{D5CDD505-2E9C-101B-9397-08002B2CF9AE}" pid="3" name="CCRF">
    <vt:lpwstr> </vt:lpwstr>
  </property>
</Properties>
</file>