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6D3612" w:rsidTr="006D3612">
        <w:trPr>
          <w:cantSplit/>
          <w:tblHeader/>
        </w:trPr>
        <w:tc>
          <w:tcPr>
            <w:tcW w:w="18713" w:type="dxa"/>
            <w:gridSpan w:val="3"/>
          </w:tcPr>
          <w:p w:rsidR="00CA1BC6" w:rsidRDefault="006D3612">
            <w:pPr>
              <w:ind w:left="650"/>
              <w:jc w:val="center"/>
            </w:pPr>
            <w:bookmarkStart w:id="0" w:name="_GoBack"/>
            <w:bookmarkEnd w:id="0"/>
            <w:r>
              <w:rPr>
                <w:b/>
              </w:rPr>
              <w:t>House Bill  923</w:t>
            </w:r>
          </w:p>
          <w:p w:rsidR="00CA1BC6" w:rsidRDefault="006D3612">
            <w:pPr>
              <w:ind w:left="650"/>
              <w:jc w:val="center"/>
            </w:pPr>
            <w:r>
              <w:t>Senate Amendments</w:t>
            </w:r>
          </w:p>
          <w:p w:rsidR="00CA1BC6" w:rsidRDefault="006D3612">
            <w:pPr>
              <w:ind w:left="650"/>
              <w:jc w:val="center"/>
            </w:pPr>
            <w:r>
              <w:t>Section-by-Section Analysis</w:t>
            </w:r>
          </w:p>
          <w:p w:rsidR="00CA1BC6" w:rsidRDefault="00CA1BC6">
            <w:pPr>
              <w:jc w:val="center"/>
            </w:pPr>
          </w:p>
        </w:tc>
      </w:tr>
      <w:tr w:rsidR="00CA1BC6">
        <w:trPr>
          <w:cantSplit/>
          <w:tblHeader/>
        </w:trPr>
        <w:tc>
          <w:tcPr>
            <w:tcW w:w="1667" w:type="pct"/>
            <w:tcMar>
              <w:bottom w:w="188" w:type="dxa"/>
              <w:right w:w="0" w:type="dxa"/>
            </w:tcMar>
          </w:tcPr>
          <w:p w:rsidR="00CA1BC6" w:rsidRDefault="006D3612">
            <w:pPr>
              <w:jc w:val="center"/>
            </w:pPr>
            <w:r>
              <w:t>HOUSE VERSION</w:t>
            </w:r>
          </w:p>
        </w:tc>
        <w:tc>
          <w:tcPr>
            <w:tcW w:w="1667" w:type="pct"/>
            <w:tcMar>
              <w:bottom w:w="188" w:type="dxa"/>
              <w:right w:w="0" w:type="dxa"/>
            </w:tcMar>
          </w:tcPr>
          <w:p w:rsidR="00CA1BC6" w:rsidRDefault="006D3612">
            <w:pPr>
              <w:jc w:val="center"/>
            </w:pPr>
            <w:r>
              <w:t>SENATE VERSION (CS)</w:t>
            </w:r>
          </w:p>
        </w:tc>
        <w:tc>
          <w:tcPr>
            <w:tcW w:w="1667" w:type="pct"/>
            <w:tcMar>
              <w:bottom w:w="188" w:type="dxa"/>
              <w:right w:w="0" w:type="dxa"/>
            </w:tcMar>
          </w:tcPr>
          <w:p w:rsidR="00CA1BC6" w:rsidRDefault="006D3612">
            <w:pPr>
              <w:jc w:val="center"/>
            </w:pPr>
            <w:r>
              <w:t>CONFERENCE</w:t>
            </w:r>
          </w:p>
        </w:tc>
      </w:tr>
      <w:tr w:rsidR="00CA1BC6">
        <w:tc>
          <w:tcPr>
            <w:tcW w:w="6473" w:type="dxa"/>
          </w:tcPr>
          <w:p w:rsidR="00CA1BC6" w:rsidRDefault="006D3612">
            <w:pPr>
              <w:jc w:val="both"/>
            </w:pPr>
            <w:r>
              <w:t>SECTION 1.  Section 504.009, Transportation Code, is amended by adding Subsection (a-1) to read as follows:</w:t>
            </w:r>
          </w:p>
          <w:p w:rsidR="00CA1BC6" w:rsidRDefault="006D3612">
            <w:pPr>
              <w:jc w:val="both"/>
            </w:pPr>
            <w:r>
              <w:rPr>
                <w:u w:val="single"/>
              </w:rPr>
              <w:t>(a-1)  On request, the department shall issue a souvenir version of the specialty license plate described by Section 504.320.</w:t>
            </w:r>
          </w:p>
          <w:p w:rsidR="00CA1BC6" w:rsidRDefault="00CA1BC6">
            <w:pPr>
              <w:jc w:val="both"/>
            </w:pPr>
          </w:p>
        </w:tc>
        <w:tc>
          <w:tcPr>
            <w:tcW w:w="6480" w:type="dxa"/>
          </w:tcPr>
          <w:p w:rsidR="00CA1BC6" w:rsidRDefault="006D3612">
            <w:pPr>
              <w:jc w:val="both"/>
            </w:pPr>
            <w:r w:rsidRPr="00E15372">
              <w:rPr>
                <w:highlight w:val="lightGray"/>
              </w:rPr>
              <w:t>No equivalent provision.</w:t>
            </w:r>
          </w:p>
          <w:p w:rsidR="00CA1BC6" w:rsidRDefault="00CA1BC6">
            <w:pPr>
              <w:jc w:val="both"/>
            </w:pPr>
          </w:p>
        </w:tc>
        <w:tc>
          <w:tcPr>
            <w:tcW w:w="5760" w:type="dxa"/>
          </w:tcPr>
          <w:p w:rsidR="00CA1BC6" w:rsidRDefault="00CA1BC6">
            <w:pPr>
              <w:jc w:val="both"/>
            </w:pPr>
          </w:p>
        </w:tc>
      </w:tr>
      <w:tr w:rsidR="00CA1BC6">
        <w:tc>
          <w:tcPr>
            <w:tcW w:w="6473" w:type="dxa"/>
          </w:tcPr>
          <w:p w:rsidR="00CA1BC6" w:rsidRDefault="006D3612">
            <w:pPr>
              <w:jc w:val="both"/>
            </w:pPr>
            <w:r>
              <w:t>SECTION 2.  Subchapter D, Chapter 504, Transportation Code, is amended by adding Section 504.320 to read as follows:</w:t>
            </w:r>
          </w:p>
          <w:p w:rsidR="00CA1BC6" w:rsidRDefault="006D3612">
            <w:pPr>
              <w:jc w:val="both"/>
            </w:pPr>
            <w:r>
              <w:rPr>
                <w:u w:val="single"/>
              </w:rPr>
              <w:t>Sec. 504.320.  36TH INFANTRY DIVISION.  The department shall issue specialty license plates for persons who have served in the 36th Infantry Division of the Texas Army National Guard. The license plates must include the 36th Infantry Division emblem and must include the words "36th Infantry Division" at the bottom of each plate.</w:t>
            </w:r>
          </w:p>
          <w:p w:rsidR="00CA1BC6" w:rsidRDefault="00CA1BC6">
            <w:pPr>
              <w:jc w:val="both"/>
            </w:pPr>
          </w:p>
        </w:tc>
        <w:tc>
          <w:tcPr>
            <w:tcW w:w="6480" w:type="dxa"/>
          </w:tcPr>
          <w:p w:rsidR="00CA1BC6" w:rsidRDefault="006D3612">
            <w:pPr>
              <w:jc w:val="both"/>
            </w:pPr>
            <w:r>
              <w:t>SECTION 1. Same as House version.</w:t>
            </w:r>
          </w:p>
          <w:p w:rsidR="00CA1BC6" w:rsidRDefault="00CA1BC6">
            <w:pPr>
              <w:jc w:val="both"/>
            </w:pPr>
          </w:p>
          <w:p w:rsidR="00CA1BC6" w:rsidRDefault="00CA1BC6">
            <w:pPr>
              <w:jc w:val="both"/>
            </w:pPr>
          </w:p>
        </w:tc>
        <w:tc>
          <w:tcPr>
            <w:tcW w:w="5760" w:type="dxa"/>
          </w:tcPr>
          <w:p w:rsidR="00CA1BC6" w:rsidRDefault="00CA1BC6">
            <w:pPr>
              <w:jc w:val="both"/>
            </w:pPr>
          </w:p>
        </w:tc>
      </w:tr>
      <w:tr w:rsidR="00CA1BC6">
        <w:tc>
          <w:tcPr>
            <w:tcW w:w="6473" w:type="dxa"/>
          </w:tcPr>
          <w:p w:rsidR="00CA1BC6" w:rsidRDefault="006D3612">
            <w:pPr>
              <w:jc w:val="both"/>
            </w:pPr>
            <w:r>
              <w:t xml:space="preserve">SECTION 3.  This Act takes effect </w:t>
            </w:r>
            <w:r w:rsidRPr="00436A1F">
              <w:rPr>
                <w:highlight w:val="lightGray"/>
              </w:rPr>
              <w:t>September 1, 2015</w:t>
            </w:r>
            <w:r>
              <w:t>.</w:t>
            </w:r>
          </w:p>
          <w:p w:rsidR="00CA1BC6" w:rsidRDefault="00CA1BC6">
            <w:pPr>
              <w:jc w:val="both"/>
            </w:pPr>
          </w:p>
        </w:tc>
        <w:tc>
          <w:tcPr>
            <w:tcW w:w="6480" w:type="dxa"/>
          </w:tcPr>
          <w:p w:rsidR="00CA1BC6" w:rsidRDefault="006D3612">
            <w:pPr>
              <w:jc w:val="both"/>
            </w:pPr>
            <w:r>
              <w:t xml:space="preserve">SECTION 2.  This Act takes effect </w:t>
            </w:r>
            <w:r w:rsidRPr="00436A1F">
              <w:rPr>
                <w:highlight w:val="lightGray"/>
              </w:rPr>
              <w:t>January 1, 2016</w:t>
            </w:r>
            <w:r>
              <w:t>.</w:t>
            </w:r>
          </w:p>
          <w:p w:rsidR="00CA1BC6" w:rsidRDefault="00CA1BC6">
            <w:pPr>
              <w:jc w:val="both"/>
            </w:pPr>
          </w:p>
        </w:tc>
        <w:tc>
          <w:tcPr>
            <w:tcW w:w="5760" w:type="dxa"/>
          </w:tcPr>
          <w:p w:rsidR="00CA1BC6" w:rsidRDefault="00CA1BC6">
            <w:pPr>
              <w:jc w:val="both"/>
            </w:pPr>
          </w:p>
        </w:tc>
      </w:tr>
    </w:tbl>
    <w:p w:rsidR="002623FF" w:rsidRDefault="002623FF"/>
    <w:sectPr w:rsidR="002623FF" w:rsidSect="00CA1BC6">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BC6" w:rsidRDefault="00CA1BC6" w:rsidP="00CA1BC6">
      <w:r>
        <w:separator/>
      </w:r>
    </w:p>
  </w:endnote>
  <w:endnote w:type="continuationSeparator" w:id="0">
    <w:p w:rsidR="00CA1BC6" w:rsidRDefault="00CA1BC6" w:rsidP="00CA1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760" w:rsidRDefault="005F17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1BC6" w:rsidRDefault="007451F3">
    <w:pPr>
      <w:tabs>
        <w:tab w:val="center" w:pos="9360"/>
        <w:tab w:val="right" w:pos="18720"/>
      </w:tabs>
    </w:pPr>
    <w:r>
      <w:fldChar w:fldCharType="begin"/>
    </w:r>
    <w:r>
      <w:instrText xml:space="preserve"> DOCPROPERTY  CCRF  \* MERGEFORMAT </w:instrText>
    </w:r>
    <w:r>
      <w:fldChar w:fldCharType="separate"/>
    </w:r>
    <w:r w:rsidR="005F1760">
      <w:t xml:space="preserve"> </w:t>
    </w:r>
    <w:r>
      <w:fldChar w:fldCharType="end"/>
    </w:r>
    <w:r w:rsidR="006D3612">
      <w:tab/>
    </w:r>
    <w:r w:rsidR="00CA1BC6">
      <w:fldChar w:fldCharType="begin"/>
    </w:r>
    <w:r w:rsidR="006D3612">
      <w:instrText xml:space="preserve"> PAGE </w:instrText>
    </w:r>
    <w:r w:rsidR="00CA1BC6">
      <w:fldChar w:fldCharType="separate"/>
    </w:r>
    <w:r>
      <w:rPr>
        <w:noProof/>
      </w:rPr>
      <w:t>1</w:t>
    </w:r>
    <w:r w:rsidR="00CA1BC6">
      <w:fldChar w:fldCharType="end"/>
    </w:r>
    <w:r w:rsidR="006D3612">
      <w:tab/>
    </w:r>
    <w:r>
      <w:fldChar w:fldCharType="begin"/>
    </w:r>
    <w:r>
      <w:instrText xml:space="preserve"> DOCPROPERTY  OTID  \* MERGEFORMAT </w:instrText>
    </w:r>
    <w:r>
      <w:fldChar w:fldCharType="separate"/>
    </w:r>
    <w:r w:rsidR="005F1760">
      <w:t>15.134.797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760" w:rsidRDefault="005F1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BC6" w:rsidRDefault="00CA1BC6" w:rsidP="00CA1BC6">
      <w:r>
        <w:separator/>
      </w:r>
    </w:p>
  </w:footnote>
  <w:footnote w:type="continuationSeparator" w:id="0">
    <w:p w:rsidR="00CA1BC6" w:rsidRDefault="00CA1BC6" w:rsidP="00CA1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760" w:rsidRDefault="005F17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760" w:rsidRDefault="005F17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760" w:rsidRDefault="005F17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BC6"/>
    <w:rsid w:val="002623FF"/>
    <w:rsid w:val="00436A1F"/>
    <w:rsid w:val="005F1760"/>
    <w:rsid w:val="006D3612"/>
    <w:rsid w:val="007451F3"/>
    <w:rsid w:val="00CA1BC6"/>
    <w:rsid w:val="00E15372"/>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BC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760"/>
    <w:pPr>
      <w:tabs>
        <w:tab w:val="center" w:pos="4680"/>
        <w:tab w:val="right" w:pos="9360"/>
      </w:tabs>
    </w:pPr>
  </w:style>
  <w:style w:type="character" w:customStyle="1" w:styleId="HeaderChar">
    <w:name w:val="Header Char"/>
    <w:basedOn w:val="DefaultParagraphFont"/>
    <w:link w:val="Header"/>
    <w:uiPriority w:val="99"/>
    <w:rsid w:val="005F1760"/>
    <w:rPr>
      <w:sz w:val="22"/>
    </w:rPr>
  </w:style>
  <w:style w:type="paragraph" w:styleId="Footer">
    <w:name w:val="footer"/>
    <w:basedOn w:val="Normal"/>
    <w:link w:val="FooterChar"/>
    <w:uiPriority w:val="99"/>
    <w:unhideWhenUsed/>
    <w:rsid w:val="005F1760"/>
    <w:pPr>
      <w:tabs>
        <w:tab w:val="center" w:pos="4680"/>
        <w:tab w:val="right" w:pos="9360"/>
      </w:tabs>
    </w:pPr>
  </w:style>
  <w:style w:type="character" w:customStyle="1" w:styleId="FooterChar">
    <w:name w:val="Footer Char"/>
    <w:basedOn w:val="DefaultParagraphFont"/>
    <w:link w:val="Footer"/>
    <w:uiPriority w:val="99"/>
    <w:rsid w:val="005F176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BC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760"/>
    <w:pPr>
      <w:tabs>
        <w:tab w:val="center" w:pos="4680"/>
        <w:tab w:val="right" w:pos="9360"/>
      </w:tabs>
    </w:pPr>
  </w:style>
  <w:style w:type="character" w:customStyle="1" w:styleId="HeaderChar">
    <w:name w:val="Header Char"/>
    <w:basedOn w:val="DefaultParagraphFont"/>
    <w:link w:val="Header"/>
    <w:uiPriority w:val="99"/>
    <w:rsid w:val="005F1760"/>
    <w:rPr>
      <w:sz w:val="22"/>
    </w:rPr>
  </w:style>
  <w:style w:type="paragraph" w:styleId="Footer">
    <w:name w:val="footer"/>
    <w:basedOn w:val="Normal"/>
    <w:link w:val="FooterChar"/>
    <w:uiPriority w:val="99"/>
    <w:unhideWhenUsed/>
    <w:rsid w:val="005F1760"/>
    <w:pPr>
      <w:tabs>
        <w:tab w:val="center" w:pos="4680"/>
        <w:tab w:val="right" w:pos="9360"/>
      </w:tabs>
    </w:pPr>
  </w:style>
  <w:style w:type="character" w:customStyle="1" w:styleId="FooterChar">
    <w:name w:val="Footer Char"/>
    <w:basedOn w:val="DefaultParagraphFont"/>
    <w:link w:val="Footer"/>
    <w:uiPriority w:val="99"/>
    <w:rsid w:val="005F176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1</Pages>
  <Words>144</Words>
  <Characters>825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HB923-SAA</vt:lpstr>
    </vt:vector>
  </TitlesOfParts>
  <Company>Texas Legislative Council</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HB923-SAA</dc:title>
  <dc:creator>LVM</dc:creator>
  <cp:lastModifiedBy>ALO</cp:lastModifiedBy>
  <cp:revision>2</cp:revision>
  <dcterms:created xsi:type="dcterms:W3CDTF">2015-05-14T21:57:00Z</dcterms:created>
  <dcterms:modified xsi:type="dcterms:W3CDTF">2015-05-14T21:57:00Z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15.134.797</vt:lpwstr>
  </property>
  <property fmtid="{D5CDD505-2E9C-101B-9397-08002B2CF9AE}" pid="3" name="CCRF">
    <vt:lpwstr> </vt:lpwstr>
  </property>
</Properties>
</file>