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E26FD" w:rsidTr="007E26FD">
        <w:trPr>
          <w:cantSplit/>
          <w:tblHeader/>
        </w:trPr>
        <w:tc>
          <w:tcPr>
            <w:tcW w:w="18713" w:type="dxa"/>
            <w:gridSpan w:val="3"/>
          </w:tcPr>
          <w:p w:rsidR="009543A0" w:rsidRDefault="006C07B1">
            <w:pPr>
              <w:ind w:left="650"/>
              <w:jc w:val="center"/>
            </w:pPr>
            <w:bookmarkStart w:id="0" w:name="_GoBack"/>
            <w:bookmarkEnd w:id="0"/>
            <w:r>
              <w:rPr>
                <w:b/>
              </w:rPr>
              <w:t>House Bill  824</w:t>
            </w:r>
          </w:p>
          <w:p w:rsidR="009543A0" w:rsidRDefault="006C07B1">
            <w:pPr>
              <w:ind w:left="650"/>
              <w:jc w:val="center"/>
            </w:pPr>
            <w:r>
              <w:t>Senate Amendments</w:t>
            </w:r>
          </w:p>
          <w:p w:rsidR="009543A0" w:rsidRDefault="006C07B1">
            <w:pPr>
              <w:ind w:left="650"/>
              <w:jc w:val="center"/>
            </w:pPr>
            <w:r>
              <w:t>Section-by-Section Analysis</w:t>
            </w:r>
          </w:p>
          <w:p w:rsidR="009543A0" w:rsidRDefault="009543A0">
            <w:pPr>
              <w:jc w:val="center"/>
            </w:pPr>
          </w:p>
        </w:tc>
      </w:tr>
      <w:tr w:rsidR="009543A0">
        <w:trPr>
          <w:cantSplit/>
          <w:tblHeader/>
        </w:trPr>
        <w:tc>
          <w:tcPr>
            <w:tcW w:w="1667" w:type="pct"/>
            <w:tcMar>
              <w:bottom w:w="188" w:type="dxa"/>
              <w:right w:w="0" w:type="dxa"/>
            </w:tcMar>
          </w:tcPr>
          <w:p w:rsidR="009543A0" w:rsidRDefault="006C07B1">
            <w:pPr>
              <w:jc w:val="center"/>
            </w:pPr>
            <w:r>
              <w:t>HOUSE VERSION</w:t>
            </w:r>
          </w:p>
        </w:tc>
        <w:tc>
          <w:tcPr>
            <w:tcW w:w="1667" w:type="pct"/>
            <w:tcMar>
              <w:bottom w:w="188" w:type="dxa"/>
              <w:right w:w="0" w:type="dxa"/>
            </w:tcMar>
          </w:tcPr>
          <w:p w:rsidR="009543A0" w:rsidRDefault="006C07B1">
            <w:pPr>
              <w:jc w:val="center"/>
            </w:pPr>
            <w:r>
              <w:t>SENATE VERSION (IE)</w:t>
            </w:r>
          </w:p>
        </w:tc>
        <w:tc>
          <w:tcPr>
            <w:tcW w:w="1667" w:type="pct"/>
            <w:tcMar>
              <w:bottom w:w="188" w:type="dxa"/>
              <w:right w:w="0" w:type="dxa"/>
            </w:tcMar>
          </w:tcPr>
          <w:p w:rsidR="009543A0" w:rsidRDefault="006C07B1">
            <w:pPr>
              <w:jc w:val="center"/>
            </w:pPr>
            <w:r>
              <w:t>CONFERENCE</w:t>
            </w:r>
          </w:p>
        </w:tc>
      </w:tr>
      <w:tr w:rsidR="009543A0">
        <w:tc>
          <w:tcPr>
            <w:tcW w:w="6473" w:type="dxa"/>
          </w:tcPr>
          <w:p w:rsidR="009543A0" w:rsidRDefault="006C07B1">
            <w:pPr>
              <w:jc w:val="both"/>
            </w:pPr>
            <w:r w:rsidRPr="007E26FD">
              <w:rPr>
                <w:highlight w:val="lightGray"/>
              </w:rPr>
              <w:t>No equivalent provision.</w:t>
            </w:r>
          </w:p>
          <w:p w:rsidR="009543A0" w:rsidRDefault="009543A0">
            <w:pPr>
              <w:jc w:val="both"/>
            </w:pPr>
          </w:p>
        </w:tc>
        <w:tc>
          <w:tcPr>
            <w:tcW w:w="6480" w:type="dxa"/>
          </w:tcPr>
          <w:p w:rsidR="009543A0" w:rsidRDefault="006C07B1">
            <w:pPr>
              <w:jc w:val="both"/>
            </w:pPr>
            <w:r>
              <w:t>SECTION __.  Section 14.05(c), Alcoholic Beverage Code, as added by Chapter 106 (S.B. 905), Acts of the 83rd Legislature, Regular Session, 2013, is amended to read as follows:</w:t>
            </w:r>
          </w:p>
          <w:p w:rsidR="009543A0" w:rsidRDefault="006C07B1">
            <w:pPr>
              <w:jc w:val="both"/>
            </w:pPr>
            <w:r>
              <w:t xml:space="preserve">(c)  The holder of a distiller's and rectifier's permit may not under Subsection (b) sell more than two 750 milliliter bottles </w:t>
            </w:r>
            <w:r>
              <w:rPr>
                <w:u w:val="single"/>
              </w:rPr>
              <w:t>or the equivalent</w:t>
            </w:r>
            <w:r>
              <w:t xml:space="preserve"> of </w:t>
            </w:r>
            <w:r>
              <w:rPr>
                <w:u w:val="single"/>
              </w:rPr>
              <w:t>each</w:t>
            </w:r>
            <w:r>
              <w:t xml:space="preserve"> distilled spirits </w:t>
            </w:r>
            <w:r>
              <w:rPr>
                <w:u w:val="single"/>
              </w:rPr>
              <w:t>product the permit holder produces</w:t>
            </w:r>
            <w:r>
              <w:t xml:space="preserve"> [</w:t>
            </w:r>
            <w:r>
              <w:rPr>
                <w:strike/>
              </w:rPr>
              <w:t>or the equivalent</w:t>
            </w:r>
            <w:r>
              <w:t xml:space="preserve">] to the same consumer within a 30-day period. </w:t>
            </w:r>
            <w:r>
              <w:rPr>
                <w:u w:val="single"/>
              </w:rPr>
              <w:t>Each product sold must have a certificate of label approval issued by the United States Alcohol and Tobacco Tax and Trade Bureau. The total sales made by the holder of a distiller's and rectifier's permit under Subsection (b) to the same consumer may not exceed six 750 milliliter bottles or the equivalent within a 30-day period.</w:t>
            </w:r>
            <w:r>
              <w:t xml:space="preserve">  [FA1]</w:t>
            </w:r>
          </w:p>
          <w:p w:rsidR="009543A0" w:rsidRDefault="009543A0">
            <w:pPr>
              <w:jc w:val="both"/>
            </w:pPr>
          </w:p>
        </w:tc>
        <w:tc>
          <w:tcPr>
            <w:tcW w:w="5760" w:type="dxa"/>
          </w:tcPr>
          <w:p w:rsidR="009543A0" w:rsidRDefault="009543A0">
            <w:pPr>
              <w:jc w:val="both"/>
            </w:pPr>
          </w:p>
        </w:tc>
      </w:tr>
      <w:tr w:rsidR="009543A0">
        <w:tc>
          <w:tcPr>
            <w:tcW w:w="6473" w:type="dxa"/>
          </w:tcPr>
          <w:p w:rsidR="009543A0" w:rsidRDefault="006C07B1">
            <w:pPr>
              <w:jc w:val="both"/>
            </w:pPr>
            <w:r>
              <w:t>SECTION 1.  Chapter 22, Alcoholic Beverage Code, is amended by adding Section 22.17 to read as follows:</w:t>
            </w:r>
          </w:p>
          <w:p w:rsidR="009543A0" w:rsidRDefault="006C07B1">
            <w:pPr>
              <w:jc w:val="both"/>
            </w:pPr>
            <w:r>
              <w:rPr>
                <w:u w:val="single"/>
              </w:rPr>
              <w:t>Sec. 22.17.  SALE TO CUSTOMER IN STORE AT CLOSING.  Notwithstanding any other provision of this code, if a customer has entered a package store during hours in which the package store may sell alcohol and is still in the store at the time the hours of legal sale end, the permittee may allow the customer to remain in the store for a reasonable amount of time to finish shopping, and the permittee may sell an alcoholic beverage to that customer even though the sale occurs after the designated end of the hours of legal sale.</w:t>
            </w:r>
          </w:p>
          <w:p w:rsidR="009543A0" w:rsidRDefault="009543A0">
            <w:pPr>
              <w:jc w:val="both"/>
            </w:pPr>
          </w:p>
        </w:tc>
        <w:tc>
          <w:tcPr>
            <w:tcW w:w="6480" w:type="dxa"/>
          </w:tcPr>
          <w:p w:rsidR="009543A0" w:rsidRDefault="006C07B1">
            <w:pPr>
              <w:jc w:val="both"/>
            </w:pPr>
            <w:r>
              <w:t>SECTION 1. Same as House version.</w:t>
            </w:r>
          </w:p>
          <w:p w:rsidR="009543A0" w:rsidRDefault="009543A0">
            <w:pPr>
              <w:jc w:val="both"/>
            </w:pPr>
          </w:p>
          <w:p w:rsidR="009543A0" w:rsidRDefault="009543A0">
            <w:pPr>
              <w:jc w:val="both"/>
            </w:pPr>
          </w:p>
        </w:tc>
        <w:tc>
          <w:tcPr>
            <w:tcW w:w="5760" w:type="dxa"/>
          </w:tcPr>
          <w:p w:rsidR="009543A0" w:rsidRDefault="009543A0">
            <w:pPr>
              <w:jc w:val="both"/>
            </w:pPr>
          </w:p>
        </w:tc>
      </w:tr>
      <w:tr w:rsidR="009543A0">
        <w:tc>
          <w:tcPr>
            <w:tcW w:w="6473" w:type="dxa"/>
          </w:tcPr>
          <w:p w:rsidR="009543A0" w:rsidRDefault="006C07B1">
            <w:pPr>
              <w:jc w:val="both"/>
            </w:pPr>
            <w:r>
              <w:t xml:space="preserve">SECTION 2.  This Act takes effect immediately if it receives a vote of two-thirds of all the members elected to each house, </w:t>
            </w:r>
            <w:r>
              <w:lastRenderedPageBreak/>
              <w:t>as provided by Section 39, Article III, Texas Constitution.  If this Act does not receive the vote necessary for immediate effect, this Act takes effect September 1, 2015.</w:t>
            </w:r>
          </w:p>
          <w:p w:rsidR="009543A0" w:rsidRDefault="009543A0">
            <w:pPr>
              <w:jc w:val="both"/>
            </w:pPr>
          </w:p>
        </w:tc>
        <w:tc>
          <w:tcPr>
            <w:tcW w:w="6480" w:type="dxa"/>
          </w:tcPr>
          <w:p w:rsidR="009543A0" w:rsidRDefault="006C07B1">
            <w:pPr>
              <w:jc w:val="both"/>
            </w:pPr>
            <w:r>
              <w:lastRenderedPageBreak/>
              <w:t>SECTION 2. Same as House version.</w:t>
            </w:r>
          </w:p>
          <w:p w:rsidR="009543A0" w:rsidRDefault="009543A0">
            <w:pPr>
              <w:jc w:val="both"/>
            </w:pPr>
          </w:p>
          <w:p w:rsidR="009543A0" w:rsidRDefault="009543A0">
            <w:pPr>
              <w:jc w:val="both"/>
            </w:pPr>
          </w:p>
        </w:tc>
        <w:tc>
          <w:tcPr>
            <w:tcW w:w="5760" w:type="dxa"/>
          </w:tcPr>
          <w:p w:rsidR="009543A0" w:rsidRDefault="009543A0">
            <w:pPr>
              <w:jc w:val="both"/>
            </w:pPr>
          </w:p>
        </w:tc>
      </w:tr>
    </w:tbl>
    <w:p w:rsidR="005E0BEA" w:rsidRDefault="005E0BEA"/>
    <w:sectPr w:rsidR="005E0BEA" w:rsidSect="009543A0">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3A0" w:rsidRDefault="009543A0" w:rsidP="009543A0">
      <w:r>
        <w:separator/>
      </w:r>
    </w:p>
  </w:endnote>
  <w:endnote w:type="continuationSeparator" w:id="0">
    <w:p w:rsidR="009543A0" w:rsidRDefault="009543A0" w:rsidP="0095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7F" w:rsidRDefault="004558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3A0" w:rsidRDefault="00634884">
    <w:pPr>
      <w:tabs>
        <w:tab w:val="center" w:pos="9360"/>
        <w:tab w:val="right" w:pos="18720"/>
      </w:tabs>
    </w:pPr>
    <w:r>
      <w:fldChar w:fldCharType="begin"/>
    </w:r>
    <w:r>
      <w:instrText xml:space="preserve"> DOCPROPERTY  CCRF  \* MERGEFORMAT </w:instrText>
    </w:r>
    <w:r>
      <w:fldChar w:fldCharType="separate"/>
    </w:r>
    <w:r w:rsidR="0045587F">
      <w:t xml:space="preserve"> </w:t>
    </w:r>
    <w:r>
      <w:fldChar w:fldCharType="end"/>
    </w:r>
    <w:r w:rsidR="006C07B1">
      <w:tab/>
    </w:r>
    <w:r w:rsidR="009543A0">
      <w:fldChar w:fldCharType="begin"/>
    </w:r>
    <w:r w:rsidR="006C07B1">
      <w:instrText xml:space="preserve"> PAGE </w:instrText>
    </w:r>
    <w:r w:rsidR="009543A0">
      <w:fldChar w:fldCharType="separate"/>
    </w:r>
    <w:r>
      <w:rPr>
        <w:noProof/>
      </w:rPr>
      <w:t>1</w:t>
    </w:r>
    <w:r w:rsidR="009543A0">
      <w:fldChar w:fldCharType="end"/>
    </w:r>
    <w:r w:rsidR="006C07B1">
      <w:tab/>
    </w:r>
    <w:r>
      <w:fldChar w:fldCharType="begin"/>
    </w:r>
    <w:r>
      <w:instrText xml:space="preserve"> DOCPROPERTY  OTID  \* MERGEFORMAT </w:instrText>
    </w:r>
    <w:r>
      <w:fldChar w:fldCharType="separate"/>
    </w:r>
    <w:r w:rsidR="0045587F">
      <w:t>15.147.547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7F" w:rsidRDefault="00455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3A0" w:rsidRDefault="009543A0" w:rsidP="009543A0">
      <w:r>
        <w:separator/>
      </w:r>
    </w:p>
  </w:footnote>
  <w:footnote w:type="continuationSeparator" w:id="0">
    <w:p w:rsidR="009543A0" w:rsidRDefault="009543A0" w:rsidP="009543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7F" w:rsidRDefault="004558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7F" w:rsidRDefault="004558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7F" w:rsidRDefault="004558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A0"/>
    <w:rsid w:val="003D0FA3"/>
    <w:rsid w:val="0045587F"/>
    <w:rsid w:val="005E0BEA"/>
    <w:rsid w:val="00634884"/>
    <w:rsid w:val="006C07B1"/>
    <w:rsid w:val="007E26FD"/>
    <w:rsid w:val="009543A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3A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87F"/>
    <w:pPr>
      <w:tabs>
        <w:tab w:val="center" w:pos="4680"/>
        <w:tab w:val="right" w:pos="9360"/>
      </w:tabs>
    </w:pPr>
  </w:style>
  <w:style w:type="character" w:customStyle="1" w:styleId="HeaderChar">
    <w:name w:val="Header Char"/>
    <w:basedOn w:val="DefaultParagraphFont"/>
    <w:link w:val="Header"/>
    <w:uiPriority w:val="99"/>
    <w:rsid w:val="0045587F"/>
    <w:rPr>
      <w:sz w:val="22"/>
    </w:rPr>
  </w:style>
  <w:style w:type="paragraph" w:styleId="Footer">
    <w:name w:val="footer"/>
    <w:basedOn w:val="Normal"/>
    <w:link w:val="FooterChar"/>
    <w:uiPriority w:val="99"/>
    <w:unhideWhenUsed/>
    <w:rsid w:val="0045587F"/>
    <w:pPr>
      <w:tabs>
        <w:tab w:val="center" w:pos="4680"/>
        <w:tab w:val="right" w:pos="9360"/>
      </w:tabs>
    </w:pPr>
  </w:style>
  <w:style w:type="character" w:customStyle="1" w:styleId="FooterChar">
    <w:name w:val="Footer Char"/>
    <w:basedOn w:val="DefaultParagraphFont"/>
    <w:link w:val="Footer"/>
    <w:uiPriority w:val="99"/>
    <w:rsid w:val="0045587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3A0"/>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87F"/>
    <w:pPr>
      <w:tabs>
        <w:tab w:val="center" w:pos="4680"/>
        <w:tab w:val="right" w:pos="9360"/>
      </w:tabs>
    </w:pPr>
  </w:style>
  <w:style w:type="character" w:customStyle="1" w:styleId="HeaderChar">
    <w:name w:val="Header Char"/>
    <w:basedOn w:val="DefaultParagraphFont"/>
    <w:link w:val="Header"/>
    <w:uiPriority w:val="99"/>
    <w:rsid w:val="0045587F"/>
    <w:rPr>
      <w:sz w:val="22"/>
    </w:rPr>
  </w:style>
  <w:style w:type="paragraph" w:styleId="Footer">
    <w:name w:val="footer"/>
    <w:basedOn w:val="Normal"/>
    <w:link w:val="FooterChar"/>
    <w:uiPriority w:val="99"/>
    <w:unhideWhenUsed/>
    <w:rsid w:val="0045587F"/>
    <w:pPr>
      <w:tabs>
        <w:tab w:val="center" w:pos="4680"/>
        <w:tab w:val="right" w:pos="9360"/>
      </w:tabs>
    </w:pPr>
  </w:style>
  <w:style w:type="character" w:customStyle="1" w:styleId="FooterChar">
    <w:name w:val="Footer Char"/>
    <w:basedOn w:val="DefaultParagraphFont"/>
    <w:link w:val="Footer"/>
    <w:uiPriority w:val="99"/>
    <w:rsid w:val="0045587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HB824-SAA</vt:lpstr>
    </vt:vector>
  </TitlesOfParts>
  <Company>Texas Legislative Council</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HB824-SAA</dc:title>
  <dc:creator>AXA</dc:creator>
  <cp:lastModifiedBy>ALO</cp:lastModifiedBy>
  <cp:revision>2</cp:revision>
  <dcterms:created xsi:type="dcterms:W3CDTF">2015-05-27T21:14:00Z</dcterms:created>
  <dcterms:modified xsi:type="dcterms:W3CDTF">2015-05-27T21:14:00Z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15.147.547</vt:lpwstr>
  </property>
  <property fmtid="{D5CDD505-2E9C-101B-9397-08002B2CF9AE}" pid="3" name="CCRF">
    <vt:lpwstr> </vt:lpwstr>
  </property>
</Properties>
</file>